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3"/>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auto"/>
          <w:kern w:val="2"/>
          <w:sz w:val="44"/>
          <w:szCs w:val="44"/>
          <w:lang w:val="en-US" w:eastAsia="zh-CN" w:bidi="ar-SA"/>
        </w:rPr>
      </w:pPr>
    </w:p>
    <w:p>
      <w:pPr>
        <w:pStyle w:val="23"/>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auto"/>
          <w:kern w:val="2"/>
          <w:sz w:val="44"/>
          <w:szCs w:val="44"/>
          <w:lang w:val="en-US" w:eastAsia="zh-CN" w:bidi="ar-SA"/>
        </w:rPr>
      </w:pPr>
    </w:p>
    <w:p>
      <w:pPr>
        <w:pStyle w:val="23"/>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kern w:val="2"/>
          <w:sz w:val="44"/>
          <w:szCs w:val="44"/>
          <w:lang w:val="en-US" w:eastAsia="zh-CN" w:bidi="ar-SA"/>
        </w:rPr>
      </w:pPr>
      <w:r>
        <w:rPr>
          <w:rFonts w:hint="eastAsia" w:ascii="宋体" w:hAnsi="宋体" w:eastAsia="宋体" w:cs="宋体"/>
          <w:color w:val="auto"/>
          <w:kern w:val="2"/>
          <w:sz w:val="44"/>
          <w:szCs w:val="44"/>
          <w:lang w:val="en-US" w:eastAsia="zh-CN" w:bidi="ar-SA"/>
        </w:rPr>
        <w:t>云南省商务厅 云南省工业和信息化厅   云南省科学技术厅关于印发《云南省服务外包重点企业及重点培训机构认定管理办法》的通知</w:t>
      </w:r>
    </w:p>
    <w:p>
      <w:pPr>
        <w:keepNext w:val="0"/>
        <w:keepLines w:val="0"/>
        <w:pageBreakBefore w:val="0"/>
        <w:widowControl w:val="0"/>
        <w:kinsoku/>
        <w:wordWrap/>
        <w:overflowPunct/>
        <w:topLinePunct w:val="0"/>
        <w:autoSpaceDE/>
        <w:autoSpaceDN/>
        <w:bidi w:val="0"/>
        <w:spacing w:beforeAutospacing="0" w:afterAutospacing="0" w:line="240" w:lineRule="auto"/>
        <w:jc w:val="center"/>
        <w:textAlignment w:val="auto"/>
        <w:rPr>
          <w:rFonts w:ascii="楷体_GB2312" w:hAnsi="楷体_GB2312" w:eastAsia="楷体_GB2312" w:cs="楷体_GB2312"/>
          <w:color w:val="auto"/>
          <w:sz w:val="32"/>
          <w:szCs w:val="32"/>
          <w:shd w:val="clear" w:color="auto" w:fill="FFFFFF"/>
        </w:rPr>
      </w:pPr>
      <w:r>
        <w:rPr>
          <w:rFonts w:hint="eastAsia" w:ascii="楷体_GB2312" w:hAnsi="楷体_GB2312" w:eastAsia="楷体_GB2312" w:cs="楷体_GB2312"/>
          <w:color w:val="auto"/>
          <w:sz w:val="32"/>
          <w:szCs w:val="32"/>
          <w:shd w:val="clear" w:color="auto" w:fill="FFFFFF"/>
        </w:rPr>
        <w:t>（云商规〔2020〕10 号 自2020年10月1日起实施</w:t>
      </w:r>
      <w:r>
        <w:rPr>
          <w:rFonts w:ascii="楷体_GB2312" w:hAnsi="楷体_GB2312" w:eastAsia="楷体_GB2312" w:cs="楷体_GB2312"/>
          <w:color w:val="auto"/>
          <w:sz w:val="32"/>
          <w:szCs w:val="32"/>
          <w:shd w:val="clear" w:color="auto" w:fill="FFFFFF"/>
        </w:rPr>
        <w:t> </w:t>
      </w:r>
      <w:r>
        <w:rPr>
          <w:rFonts w:hint="eastAsia" w:ascii="楷体_GB2312" w:hAnsi="楷体_GB2312" w:eastAsia="楷体_GB2312" w:cs="楷体_GB2312"/>
          <w:color w:val="auto"/>
          <w:sz w:val="32"/>
          <w:szCs w:val="32"/>
          <w:shd w:val="clear" w:color="auto" w:fill="FFFFFF"/>
        </w:rPr>
        <w:t>）</w:t>
      </w:r>
    </w:p>
    <w:p>
      <w:pPr>
        <w:pStyle w:val="23"/>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0" w:firstLineChars="0"/>
        <w:jc w:val="center"/>
        <w:textAlignment w:val="auto"/>
        <w:rPr>
          <w:rFonts w:hint="eastAsia" w:ascii="仿宋" w:hAnsi="仿宋" w:eastAsia="仿宋" w:cs="仿宋"/>
          <w:color w:val="auto"/>
          <w:kern w:val="2"/>
          <w:sz w:val="44"/>
          <w:szCs w:val="44"/>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firstLine="0"/>
        <w:jc w:val="left"/>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lang w:val="en-US" w:eastAsia="zh-CN" w:bidi="ar"/>
        </w:rPr>
        <w:t>各州（市）商务部门、工业和信息化部门、科技部门，各有关单位：</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lang w:val="en-US" w:eastAsia="zh-CN" w:bidi="ar"/>
        </w:rPr>
        <w:t>　　为贯彻执行《云南省人民政府关于促进服务外包产业加快发展的实施意见》（云政发〔2015〕87号），培育壮大我省从事服务外包企业队伍规模，发挥</w:t>
      </w:r>
      <w:bookmarkStart w:id="1" w:name="_GoBack"/>
      <w:bookmarkEnd w:id="1"/>
      <w:r>
        <w:rPr>
          <w:rFonts w:hint="eastAsia" w:ascii="仿宋_GB2312" w:hAnsi="仿宋_GB2312" w:eastAsia="仿宋_GB2312" w:cs="仿宋_GB2312"/>
          <w:i w:val="0"/>
          <w:iCs w:val="0"/>
          <w:caps w:val="0"/>
          <w:color w:val="auto"/>
          <w:spacing w:val="0"/>
          <w:kern w:val="0"/>
          <w:sz w:val="32"/>
          <w:szCs w:val="32"/>
          <w:lang w:val="en-US" w:eastAsia="zh-CN" w:bidi="ar"/>
        </w:rPr>
        <w:t>重点企业及培训机构引领示范作用，推动服务外包产业加快发展，省商务厅、工业和信息化厅、科技厅修订了《云南省服务外包重点企业及重点培训机构认定管理办法》，现印发你们，请遵照执行。</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0"/>
        <w:jc w:val="left"/>
        <w:textAlignment w:val="auto"/>
        <w:rPr>
          <w:rFonts w:hint="eastAsia" w:ascii="仿宋_GB2312" w:hAnsi="仿宋_GB2312" w:eastAsia="仿宋_GB2312" w:cs="仿宋_GB2312"/>
          <w:i w:val="0"/>
          <w:iCs w:val="0"/>
          <w:caps w:val="0"/>
          <w:color w:val="auto"/>
          <w:spacing w:val="0"/>
          <w:kern w:val="0"/>
          <w:sz w:val="32"/>
          <w:szCs w:val="32"/>
          <w:lang w:val="en-US" w:eastAsia="zh-CN" w:bidi="ar"/>
        </w:rPr>
      </w:pPr>
      <w:r>
        <w:rPr>
          <w:rFonts w:hint="eastAsia" w:ascii="仿宋_GB2312" w:hAnsi="仿宋_GB2312" w:eastAsia="仿宋_GB2312" w:cs="仿宋_GB2312"/>
          <w:i w:val="0"/>
          <w:iCs w:val="0"/>
          <w:caps w:val="0"/>
          <w:color w:val="auto"/>
          <w:spacing w:val="0"/>
          <w:kern w:val="0"/>
          <w:sz w:val="32"/>
          <w:szCs w:val="32"/>
          <w:lang w:val="en-US" w:eastAsia="zh-CN" w:bidi="ar"/>
        </w:rPr>
        <w:t>请各州、市商务主管部门牵头，与当地工业和信息化部门、科技部门加强协作，依据要求积极组织企业申报，并将申报材料一式三份于10月10日前报送至云南省商务厅服务贸易处。</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0"/>
        <w:jc w:val="left"/>
        <w:textAlignment w:val="auto"/>
        <w:rPr>
          <w:rFonts w:hint="eastAsia" w:ascii="仿宋_GB2312" w:hAnsi="仿宋_GB2312" w:eastAsia="仿宋_GB2312" w:cs="仿宋_GB2312"/>
          <w:i w:val="0"/>
          <w:iCs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0"/>
        <w:jc w:val="left"/>
        <w:textAlignment w:val="auto"/>
        <w:rPr>
          <w:rFonts w:hint="eastAsia" w:ascii="仿宋_GB2312" w:hAnsi="仿宋_GB2312" w:eastAsia="仿宋_GB2312" w:cs="仿宋_GB2312"/>
          <w:i w:val="0"/>
          <w:iCs w:val="0"/>
          <w:caps w:val="0"/>
          <w:color w:val="auto"/>
          <w:spacing w:val="0"/>
          <w:kern w:val="0"/>
          <w:sz w:val="32"/>
          <w:szCs w:val="32"/>
          <w:lang w:val="en-US" w:eastAsia="zh-CN" w:bidi="ar"/>
        </w:rPr>
      </w:pPr>
      <w:r>
        <w:rPr>
          <w:rFonts w:hint="eastAsia" w:ascii="仿宋_GB2312" w:hAnsi="仿宋_GB2312" w:eastAsia="仿宋_GB2312" w:cs="仿宋_GB2312"/>
          <w:i w:val="0"/>
          <w:iCs w:val="0"/>
          <w:caps w:val="0"/>
          <w:color w:val="auto"/>
          <w:spacing w:val="0"/>
          <w:kern w:val="0"/>
          <w:sz w:val="32"/>
          <w:szCs w:val="32"/>
          <w:lang w:val="en-US" w:eastAsia="zh-CN" w:bidi="ar"/>
        </w:rPr>
        <w:t>附件:云南省服务外包重点企业及重点培训机构认定管理办法</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0"/>
        <w:jc w:val="left"/>
        <w:textAlignment w:val="auto"/>
        <w:rPr>
          <w:rFonts w:hint="eastAsia" w:ascii="仿宋_GB2312" w:hAnsi="仿宋_GB2312" w:eastAsia="仿宋_GB2312" w:cs="仿宋_GB2312"/>
          <w:i w:val="0"/>
          <w:iCs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right"/>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lang w:val="en-US" w:eastAsia="zh-CN" w:bidi="ar"/>
        </w:rPr>
        <w:t>云南省商务厅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right"/>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lang w:val="en-US" w:eastAsia="zh-CN" w:bidi="ar"/>
        </w:rPr>
        <w:t>云南省工业和信息厅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right"/>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lang w:val="en-US" w:eastAsia="zh-CN" w:bidi="ar"/>
        </w:rPr>
        <w:t>云南省科学技术厅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right"/>
        <w:textAlignment w:val="auto"/>
        <w:rPr>
          <w:rFonts w:hint="eastAsia" w:ascii="仿宋_GB2312" w:hAnsi="仿宋_GB2312" w:eastAsia="仿宋_GB2312" w:cs="仿宋_GB2312"/>
          <w:i w:val="0"/>
          <w:iCs w:val="0"/>
          <w:caps w:val="0"/>
          <w:color w:val="auto"/>
          <w:spacing w:val="0"/>
          <w:kern w:val="0"/>
          <w:sz w:val="32"/>
          <w:szCs w:val="32"/>
          <w:lang w:val="en-US" w:eastAsia="zh-CN" w:bidi="ar"/>
        </w:rPr>
      </w:pPr>
      <w:r>
        <w:rPr>
          <w:rFonts w:hint="eastAsia" w:ascii="仿宋_GB2312" w:hAnsi="仿宋_GB2312" w:eastAsia="仿宋_GB2312" w:cs="仿宋_GB2312"/>
          <w:i w:val="0"/>
          <w:iCs w:val="0"/>
          <w:caps w:val="0"/>
          <w:color w:val="auto"/>
          <w:spacing w:val="0"/>
          <w:kern w:val="0"/>
          <w:sz w:val="32"/>
          <w:szCs w:val="32"/>
          <w:lang w:val="en-US" w:eastAsia="zh-CN" w:bidi="ar"/>
        </w:rPr>
        <w:t>2020年9月1日</w:t>
      </w:r>
    </w:p>
    <w:p>
      <w:pPr>
        <w:keepNext w:val="0"/>
        <w:keepLines w:val="0"/>
        <w:widowControl/>
        <w:suppressLineNumbers w:val="0"/>
        <w:spacing w:before="0" w:beforeAutospacing="1" w:after="0" w:afterAutospacing="1" w:line="24" w:lineRule="atLeast"/>
        <w:ind w:left="0" w:right="0" w:firstLine="0"/>
        <w:jc w:val="right"/>
        <w:rPr>
          <w:rFonts w:hint="eastAsia" w:ascii="仿宋_GB2312" w:hAnsi="仿宋_GB2312" w:eastAsia="仿宋_GB2312" w:cs="仿宋_GB2312"/>
          <w:i w:val="0"/>
          <w:iCs w:val="0"/>
          <w:caps w:val="0"/>
          <w:color w:val="auto"/>
          <w:spacing w:val="0"/>
          <w:kern w:val="0"/>
          <w:sz w:val="32"/>
          <w:szCs w:val="32"/>
          <w:lang w:val="en-US" w:eastAsia="zh-CN" w:bidi="ar"/>
        </w:rPr>
      </w:pPr>
    </w:p>
    <w:p>
      <w:pPr>
        <w:keepNext w:val="0"/>
        <w:keepLines w:val="0"/>
        <w:widowControl/>
        <w:suppressLineNumbers w:val="0"/>
        <w:spacing w:before="0" w:beforeAutospacing="1" w:after="0" w:afterAutospacing="1" w:line="24" w:lineRule="atLeast"/>
        <w:ind w:left="0" w:right="0" w:firstLine="384"/>
        <w:jc w:val="left"/>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lang w:val="en-US" w:eastAsia="zh-CN" w:bidi="ar"/>
        </w:rPr>
        <w:t>（联系人及电话：严义 0871-63210587）</w:t>
      </w:r>
    </w:p>
    <w:p>
      <w:pPr>
        <w:spacing w:before="100" w:beforeAutospacing="1" w:after="100" w:afterAutospacing="1" w:line="640" w:lineRule="atLeast"/>
        <w:rPr>
          <w:rFonts w:hint="eastAsia" w:ascii="仿宋_GB2312" w:hAnsi="仿宋_GB2312" w:eastAsia="仿宋_GB2312" w:cs="仿宋_GB2312"/>
          <w:color w:val="auto"/>
          <w:sz w:val="32"/>
          <w:szCs w:val="32"/>
        </w:rPr>
      </w:pPr>
    </w:p>
    <w:p>
      <w:pPr>
        <w:spacing w:before="100" w:beforeAutospacing="1" w:after="100" w:afterAutospacing="1" w:line="640" w:lineRule="atLeast"/>
        <w:rPr>
          <w:rFonts w:hint="eastAsia" w:ascii="仿宋_GB2312" w:hAnsi="仿宋_GB2312" w:eastAsia="仿宋_GB2312" w:cs="仿宋_GB2312"/>
          <w:color w:val="auto"/>
          <w:sz w:val="32"/>
          <w:szCs w:val="32"/>
        </w:rPr>
      </w:pPr>
    </w:p>
    <w:p>
      <w:pPr>
        <w:spacing w:before="100" w:beforeAutospacing="1" w:after="100" w:afterAutospacing="1" w:line="640" w:lineRule="atLeast"/>
        <w:rPr>
          <w:rFonts w:hint="eastAsia" w:ascii="仿宋_GB2312" w:hAnsi="仿宋_GB2312" w:eastAsia="仿宋_GB2312" w:cs="仿宋_GB2312"/>
          <w:color w:val="auto"/>
          <w:sz w:val="32"/>
          <w:szCs w:val="32"/>
        </w:rPr>
      </w:pPr>
    </w:p>
    <w:p>
      <w:pPr>
        <w:spacing w:before="100" w:beforeAutospacing="1" w:after="100" w:afterAutospacing="1" w:line="640" w:lineRule="atLeast"/>
        <w:rPr>
          <w:rFonts w:hint="eastAsia" w:ascii="仿宋_GB2312" w:hAnsi="仿宋_GB2312" w:eastAsia="仿宋_GB2312" w:cs="仿宋_GB2312"/>
          <w:color w:val="auto"/>
          <w:sz w:val="32"/>
          <w:szCs w:val="32"/>
        </w:rPr>
      </w:pPr>
    </w:p>
    <w:p>
      <w:pPr>
        <w:spacing w:before="100" w:beforeAutospacing="1" w:after="100" w:afterAutospacing="1" w:line="640" w:lineRule="atLeast"/>
        <w:rPr>
          <w:rFonts w:hint="eastAsia" w:ascii="仿宋_GB2312" w:hAnsi="仿宋_GB2312" w:eastAsia="仿宋_GB2312" w:cs="仿宋_GB2312"/>
          <w:color w:val="auto"/>
          <w:sz w:val="32"/>
          <w:szCs w:val="32"/>
        </w:rPr>
      </w:pPr>
    </w:p>
    <w:p>
      <w:pPr>
        <w:spacing w:before="100" w:beforeAutospacing="1" w:after="100" w:afterAutospacing="1" w:line="640" w:lineRule="atLeast"/>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before="100" w:beforeAutospacing="1" w:after="100" w:afterAutospacing="1" w:line="600" w:lineRule="exact"/>
        <w:jc w:val="center"/>
        <w:textAlignment w:val="auto"/>
        <w:rPr>
          <w:rFonts w:hint="eastAsia" w:ascii="仿宋_GB2312" w:hAnsi="仿宋_GB2312" w:eastAsia="仿宋_GB2312" w:cs="仿宋_GB2312"/>
          <w:color w:val="auto"/>
          <w:sz w:val="32"/>
          <w:szCs w:val="32"/>
        </w:rPr>
      </w:pPr>
    </w:p>
    <w:p>
      <w:pPr>
        <w:jc w:val="center"/>
        <w:rPr>
          <w:rFonts w:hint="eastAsia" w:asciiTheme="minorEastAsia" w:hAnsiTheme="minorEastAsia" w:eastAsiaTheme="minorEastAsia" w:cstheme="minorEastAsia"/>
          <w:color w:val="auto"/>
          <w:kern w:val="2"/>
          <w:sz w:val="44"/>
          <w:szCs w:val="44"/>
          <w:lang w:val="en-US" w:eastAsia="zh-CN" w:bidi="ar-SA"/>
        </w:rPr>
      </w:pPr>
    </w:p>
    <w:p>
      <w:pPr>
        <w:jc w:val="center"/>
        <w:rPr>
          <w:rFonts w:hint="eastAsia" w:asciiTheme="minorEastAsia" w:hAnsiTheme="minorEastAsia" w:eastAsiaTheme="minorEastAsia" w:cstheme="minorEastAsia"/>
          <w:color w:val="auto"/>
          <w:kern w:val="2"/>
          <w:sz w:val="44"/>
          <w:szCs w:val="44"/>
          <w:lang w:val="en-US" w:eastAsia="zh-CN" w:bidi="ar-SA"/>
        </w:rPr>
      </w:pPr>
      <w:r>
        <w:rPr>
          <w:rFonts w:hint="eastAsia" w:asciiTheme="minorEastAsia" w:hAnsiTheme="minorEastAsia" w:eastAsiaTheme="minorEastAsia" w:cstheme="minorEastAsia"/>
          <w:color w:val="auto"/>
          <w:kern w:val="2"/>
          <w:sz w:val="44"/>
          <w:szCs w:val="44"/>
          <w:lang w:val="en-US" w:eastAsia="zh-CN" w:bidi="ar-SA"/>
        </w:rPr>
        <w:t>云南省服务外包</w:t>
      </w:r>
    </w:p>
    <w:p>
      <w:pPr>
        <w:jc w:val="center"/>
        <w:rPr>
          <w:rFonts w:hint="eastAsia" w:asciiTheme="minorEastAsia" w:hAnsiTheme="minorEastAsia" w:eastAsiaTheme="minorEastAsia" w:cstheme="minorEastAsia"/>
          <w:color w:val="auto"/>
          <w:kern w:val="2"/>
          <w:sz w:val="44"/>
          <w:szCs w:val="44"/>
          <w:lang w:val="en-US" w:eastAsia="zh-CN" w:bidi="ar-SA"/>
        </w:rPr>
      </w:pPr>
      <w:r>
        <w:rPr>
          <w:rFonts w:hint="eastAsia" w:asciiTheme="minorEastAsia" w:hAnsiTheme="minorEastAsia" w:eastAsiaTheme="minorEastAsia" w:cstheme="minorEastAsia"/>
          <w:color w:val="auto"/>
          <w:kern w:val="2"/>
          <w:sz w:val="44"/>
          <w:szCs w:val="44"/>
          <w:lang w:val="en-US" w:eastAsia="zh-CN" w:bidi="ar-SA"/>
        </w:rPr>
        <w:t>重点企业及重点培训机构认定管理办法</w:t>
      </w:r>
    </w:p>
    <w:p>
      <w:pPr>
        <w:spacing w:line="560" w:lineRule="exact"/>
        <w:ind w:left="1275"/>
        <w:jc w:val="center"/>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黑体" w:hAnsi="黑体" w:eastAsia="黑体" w:cs="黑体"/>
          <w:bCs/>
          <w:color w:val="auto"/>
          <w:sz w:val="32"/>
          <w:szCs w:val="32"/>
        </w:rPr>
      </w:pPr>
      <w:r>
        <w:rPr>
          <w:rFonts w:hint="eastAsia" w:ascii="黑体" w:hAnsi="黑体" w:eastAsia="黑体" w:cs="黑体"/>
          <w:color w:val="auto"/>
          <w:sz w:val="32"/>
          <w:szCs w:val="32"/>
        </w:rPr>
        <w:t xml:space="preserve">第一章 </w:t>
      </w:r>
      <w:r>
        <w:rPr>
          <w:rFonts w:hint="eastAsia" w:ascii="黑体" w:hAnsi="黑体" w:eastAsia="黑体" w:cs="黑体"/>
          <w:bCs/>
          <w:color w:val="auto"/>
          <w:sz w:val="32"/>
          <w:szCs w:val="32"/>
        </w:rPr>
        <w:t>总  则</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黑体" w:hAnsi="黑体" w:eastAsia="黑体" w:cs="黑体"/>
          <w:bCs/>
          <w:color w:val="auto"/>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第一条</w:t>
      </w:r>
      <w:r>
        <w:rPr>
          <w:rFonts w:hint="eastAsia" w:ascii="仿宋_GB2312" w:hAnsi="仿宋_GB2312" w:eastAsia="仿宋_GB2312" w:cs="仿宋_GB2312"/>
          <w:color w:val="auto"/>
          <w:sz w:val="32"/>
          <w:szCs w:val="32"/>
        </w:rPr>
        <w:t>  为贯彻落实《云南省人民政府关于促进服务外包产业加快发展的实施意见》（云政发〔2015〕87号），加快发展我省服务外包产业，由省级商务部门牵头，工业和信息化部门、科技部门配合，在现有从事信息技术外包、知识流程外包、业务流程外包的企业和相关培训机构中遴选出一批已从事或有较大发展潜力的企业、机构，加以重点培养，给予政策扶持，以发挥其引领示范作用，推进我省服务外包产业发展。为规范相关认定管理工作，特制订本办法。</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第二条 </w:t>
      </w:r>
      <w:r>
        <w:rPr>
          <w:rFonts w:hint="eastAsia" w:ascii="仿宋_GB2312" w:hAnsi="仿宋_GB2312" w:eastAsia="仿宋_GB2312" w:cs="仿宋_GB2312"/>
          <w:color w:val="auto"/>
          <w:sz w:val="32"/>
          <w:szCs w:val="32"/>
        </w:rPr>
        <w:t> 本办法适用于服务外包重点企业及重点培训机构的认定及相关管理工作。</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第三条</w:t>
      </w:r>
      <w:r>
        <w:rPr>
          <w:rFonts w:hint="eastAsia" w:ascii="仿宋_GB2312" w:hAnsi="仿宋_GB2312" w:eastAsia="仿宋_GB2312" w:cs="仿宋_GB2312"/>
          <w:color w:val="auto"/>
          <w:sz w:val="32"/>
          <w:szCs w:val="32"/>
        </w:rPr>
        <w:t>  云南省服务外包重点企业及重点培训机构的认定由省级商务部门、工业和信息化部门、科技部门组织实施，并委托有资质的中介组织承担具体事务。</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第四条</w:t>
      </w:r>
      <w:r>
        <w:rPr>
          <w:rFonts w:hint="eastAsia" w:ascii="仿宋_GB2312" w:hAnsi="仿宋_GB2312" w:eastAsia="仿宋_GB2312" w:cs="仿宋_GB2312"/>
          <w:color w:val="auto"/>
          <w:sz w:val="32"/>
          <w:szCs w:val="32"/>
        </w:rPr>
        <w:t>  认定工作遵循公平、公正、公开原则，实行企业和机构自主申报、专家评定、行业公示、动态管理等制度。</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第二章  认定范围及条件</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黑体" w:hAnsi="黑体" w:eastAsia="黑体" w:cs="黑体"/>
          <w:color w:val="auto"/>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第五条</w:t>
      </w:r>
      <w:r>
        <w:rPr>
          <w:rFonts w:hint="eastAsia" w:ascii="仿宋_GB2312" w:hAnsi="仿宋_GB2312" w:eastAsia="仿宋_GB2312" w:cs="仿宋_GB2312"/>
          <w:color w:val="auto"/>
          <w:sz w:val="32"/>
          <w:szCs w:val="32"/>
        </w:rPr>
        <w:t>  本办法所称的云南省服务外包重点企业和重点培训机构是指在市场监管等部门依法注册、具有独立法人资格的企业和机构，能够积极、快速开展服务外包业务，在服务外包主要行业领域和新兴领域带动性强，在当地具有一定影响力，对服务外包区域发展、行业发展有显著促进作用的企业或具有从事服务外包产业潜力的企业和培训机构。</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第六条</w:t>
      </w:r>
      <w:r>
        <w:rPr>
          <w:rFonts w:hint="eastAsia" w:ascii="仿宋_GB2312" w:hAnsi="仿宋_GB2312" w:eastAsia="仿宋_GB2312" w:cs="仿宋_GB2312"/>
          <w:color w:val="auto"/>
          <w:sz w:val="32"/>
          <w:szCs w:val="32"/>
        </w:rPr>
        <w:t>  申请认定重点企业应当符合下述基本条件：</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（一）具有独立法人资格；</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（二）在“商务部业务系统统一平台-服务外包及软件出口信息管理应用”登记注册，并向注册地商务部门如实、完整填报业务信息，履行登记义务；</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（三）从事信息技术外包（ITO）、业务流程外包（BPO）、知识流程外包（KPO）等至少一种服务外包业务；</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（四）企业需加强开拓国际市场，积极参与由省级商务部门、工业和信息化部门、科技部门组织的国内外服务外包重点展会。</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第七条</w:t>
      </w:r>
      <w:r>
        <w:rPr>
          <w:rFonts w:hint="eastAsia" w:ascii="仿宋_GB2312" w:hAnsi="仿宋_GB2312" w:eastAsia="仿宋_GB2312" w:cs="仿宋_GB2312"/>
          <w:color w:val="auto"/>
          <w:sz w:val="32"/>
          <w:szCs w:val="32"/>
        </w:rPr>
        <w:t>  申请认定重点培训机构应当符合下述基本条件：</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（一）具有符合条件的场地、设施、专业教材和师资力量，上一年度培训服务外包人才数量不少于300人；</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（二）具有健全的财务制度和合格的财务管理人员；</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（三）上年度培训机构无虚报、瞒报等违规行为。</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第八条</w:t>
      </w:r>
      <w:r>
        <w:rPr>
          <w:rFonts w:hint="eastAsia" w:ascii="仿宋_GB2312" w:hAnsi="仿宋_GB2312" w:eastAsia="仿宋_GB2312" w:cs="仿宋_GB2312"/>
          <w:color w:val="auto"/>
          <w:sz w:val="32"/>
          <w:szCs w:val="32"/>
        </w:rPr>
        <w:t>  申请“重点企业”应当提交下述基本材料：</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（一）云南省服务外包重点企业及重点培训机构申请表；</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（二）申请单位法定代表人身份证明、营业执照、组织机构代码证、税务登记证、外商投资批准证书（台港澳侨投资企业批准证书）或对外贸易经营者备案证书复印件并加盖企业印章；</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（三）企业基本情况及服务外包业务情况介绍；企业获得的相关资质认证复印件等材料。</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（四）上一年服务外包合同（复印涉及签约额及落款签章页）、银行收款证明复印件等；</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（五）上一年度财务审计报告（当年成立的不用提供），发展前景以及预期目标的说明。</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第九条</w:t>
      </w:r>
      <w:r>
        <w:rPr>
          <w:rFonts w:hint="eastAsia" w:ascii="仿宋_GB2312" w:hAnsi="仿宋_GB2312" w:eastAsia="仿宋_GB2312" w:cs="仿宋_GB2312"/>
          <w:color w:val="auto"/>
          <w:sz w:val="32"/>
          <w:szCs w:val="32"/>
        </w:rPr>
        <w:t>  申请“重点培训机构”应当提交下述基本材料：</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（一）云南省服务外包重点企业及重点培训机构申请表；</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（二）申报单位法定代表人身份证明、法人营业执照、组织机构代码证、税务登记证书复印件；</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（三）单位基本情况及人才培训情况介绍；</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（四）场地、教学设施设备等教学硬件清单及证明材料；</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（五）在职教师名单及学历、职称证书复印件；</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（六）人才培训项目设计、实施、总结等相关材料；</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（七）上一年实训学员名册及实习就业汇总表。</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第十条 </w:t>
      </w:r>
      <w:r>
        <w:rPr>
          <w:rFonts w:hint="eastAsia" w:ascii="仿宋_GB2312" w:hAnsi="仿宋_GB2312" w:eastAsia="仿宋_GB2312" w:cs="仿宋_GB2312"/>
          <w:color w:val="auto"/>
          <w:sz w:val="32"/>
          <w:szCs w:val="32"/>
        </w:rPr>
        <w:t> 评审主要依据服务外包合同执行额、离岸执行额，综合考虑从业人数、资质认证、纳税额、成长性、地区影响力等因素，择优评定。</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auto"/>
          <w:sz w:val="32"/>
          <w:szCs w:val="32"/>
        </w:rPr>
      </w:pP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第三章 认定程序</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640" w:firstLineChars="200"/>
        <w:jc w:val="center"/>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第十一条</w:t>
      </w:r>
      <w:r>
        <w:rPr>
          <w:rFonts w:hint="eastAsia" w:ascii="仿宋_GB2312" w:hAnsi="仿宋_GB2312" w:eastAsia="仿宋_GB2312" w:cs="仿宋_GB2312"/>
          <w:color w:val="auto"/>
          <w:sz w:val="32"/>
          <w:szCs w:val="32"/>
        </w:rPr>
        <w:t>  认定工作原则上每两年进行一次。</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第十二条</w:t>
      </w:r>
      <w:r>
        <w:rPr>
          <w:rFonts w:hint="eastAsia" w:ascii="仿宋_GB2312" w:hAnsi="仿宋_GB2312" w:eastAsia="仿宋_GB2312" w:cs="仿宋_GB2312"/>
          <w:color w:val="auto"/>
          <w:sz w:val="32"/>
          <w:szCs w:val="32"/>
        </w:rPr>
        <w:t>  由省级商务部门、工业和信息化部门、科技部门组织实施认定管理工作，委托有资质的中介组织承担具体事务。由中介组织对照认定标准对申报材料进行初审，并组织专家评审。</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第十三条</w:t>
      </w:r>
      <w:r>
        <w:rPr>
          <w:rFonts w:hint="eastAsia" w:ascii="仿宋_GB2312" w:hAnsi="仿宋_GB2312" w:eastAsia="仿宋_GB2312" w:cs="仿宋_GB2312"/>
          <w:color w:val="auto"/>
          <w:sz w:val="32"/>
          <w:szCs w:val="32"/>
        </w:rPr>
        <w:t>  省级商务部门、工业和信息化部门、科技部门对初审结果进行最终评审。经评审评定的结果，将在省商务部门门户网站进行公示，公示期为10个工作日。</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第十四条</w:t>
      </w:r>
      <w:r>
        <w:rPr>
          <w:rFonts w:hint="eastAsia" w:ascii="仿宋_GB2312" w:hAnsi="仿宋_GB2312" w:eastAsia="仿宋_GB2312" w:cs="仿宋_GB2312"/>
          <w:color w:val="auto"/>
          <w:sz w:val="32"/>
          <w:szCs w:val="32"/>
        </w:rPr>
        <w:t>  终审结果经公示无异议的，由省级商务部门、工业和信息化部门、科技部门发文认定为“云南省服务外包重点企业”或“云南省服务外包重点培训机构”；公示期间若有异议，则会启动异议复核程序，由中介组织根据</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"http://baike.baidu.com/view/657278.htm"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当事人陈述</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t>的事实和理由对异议情况进行审查，并报省商务部门、工业和信息化部门、科技部门审核，如异议成立，不予认定。</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auto"/>
          <w:sz w:val="32"/>
          <w:szCs w:val="32"/>
        </w:rPr>
      </w:pP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第四章 支持和管理措施</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640" w:firstLineChars="200"/>
        <w:jc w:val="center"/>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第十五条</w:t>
      </w:r>
      <w:r>
        <w:rPr>
          <w:rFonts w:hint="eastAsia" w:ascii="仿宋_GB2312" w:hAnsi="仿宋_GB2312" w:eastAsia="仿宋_GB2312" w:cs="仿宋_GB2312"/>
          <w:color w:val="auto"/>
          <w:sz w:val="32"/>
          <w:szCs w:val="32"/>
        </w:rPr>
        <w:t>  通过认定的“云南省服务外包重点企业”及“云南省服务外包重点培训机构”，可凭认定结果向有关部门申请并享受国家及省有关支持服务外包产业发展的政策。</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第十六条</w:t>
      </w:r>
      <w:r>
        <w:rPr>
          <w:rFonts w:hint="eastAsia" w:ascii="仿宋_GB2312" w:hAnsi="仿宋_GB2312" w:eastAsia="仿宋_GB2312" w:cs="仿宋_GB2312"/>
          <w:color w:val="auto"/>
          <w:sz w:val="32"/>
          <w:szCs w:val="32"/>
        </w:rPr>
        <w:t>  认定结果有效期为两年。两年期满，通过认定的“云南省服务外包重点企业”及“云南省服务外包重点培训机构”需按认定程序再次进行评审认定。</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Style w:val="10"/>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第十七条</w:t>
      </w:r>
      <w:r>
        <w:rPr>
          <w:rFonts w:hint="eastAsia" w:ascii="仿宋_GB2312" w:hAnsi="仿宋_GB2312" w:eastAsia="仿宋_GB2312" w:cs="仿宋_GB2312"/>
          <w:color w:val="auto"/>
          <w:sz w:val="32"/>
          <w:szCs w:val="32"/>
        </w:rPr>
        <w:t>  申报企业（机构）应对申报材料的真实性和合法性负责。在运营过程中有违法违纪行为或者在申报过程中有虚假行为的，一经查实取消其申报资格，并在两年内不受理其认定申请。对已获认定的企业、培训机构，发现其有虚假申报行为的，取消其云南省服务外包重点企业、重点培训机构资格。</w:t>
      </w:r>
      <w:r>
        <w:rPr>
          <w:rStyle w:val="10"/>
          <w:rFonts w:hint="eastAsia" w:ascii="仿宋_GB2312" w:hAnsi="仿宋_GB2312" w:eastAsia="仿宋_GB2312" w:cs="仿宋_GB2312"/>
          <w:color w:val="auto"/>
          <w:sz w:val="32"/>
          <w:szCs w:val="32"/>
        </w:rPr>
        <w:t> </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3" w:firstLineChars="200"/>
        <w:textAlignment w:val="auto"/>
        <w:rPr>
          <w:rStyle w:val="10"/>
          <w:rFonts w:hint="eastAsia" w:ascii="仿宋_GB2312" w:hAnsi="仿宋_GB2312" w:eastAsia="仿宋_GB2312" w:cs="仿宋_GB2312"/>
          <w:color w:val="auto"/>
          <w:sz w:val="32"/>
          <w:szCs w:val="32"/>
        </w:rPr>
      </w:pP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第五章 附则</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640" w:firstLineChars="200"/>
        <w:jc w:val="center"/>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第十八条</w:t>
      </w:r>
      <w:r>
        <w:rPr>
          <w:rFonts w:hint="eastAsia" w:ascii="仿宋_GB2312" w:hAnsi="仿宋_GB2312" w:eastAsia="仿宋_GB2312" w:cs="仿宋_GB2312"/>
          <w:color w:val="auto"/>
          <w:sz w:val="32"/>
          <w:szCs w:val="32"/>
        </w:rPr>
        <w:t>  本办法自2020年10月1日起施行，有效期至2025年10月1日，原《云南省服务外包重点企业及重点培训机构认定和管理暂行办法》同时废止。</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"https://swt.yn.gov.cn/uploads/attachments/8ea776cc-e7a9-4b0c-a45a-46bb4ebeaca3.doc" \o "附件-云南省服务外包重点企业及重点培训机构申请表.doc"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云南省服务外包重点企业及重点培训机构申请表</w:t>
      </w:r>
      <w:r>
        <w:rPr>
          <w:rFonts w:hint="eastAsia" w:ascii="仿宋_GB2312" w:hAnsi="仿宋_GB2312" w:eastAsia="仿宋_GB2312" w:cs="仿宋_GB2312"/>
          <w:color w:val="auto"/>
          <w:sz w:val="32"/>
          <w:szCs w:val="32"/>
        </w:rPr>
        <w:fldChar w:fldCharType="end"/>
      </w:r>
    </w:p>
    <w:p>
      <w:pPr>
        <w:keepNext w:val="0"/>
        <w:keepLines w:val="0"/>
        <w:pageBreakBefore w:val="0"/>
        <w:widowControl w:val="0"/>
        <w:kinsoku/>
        <w:wordWrap/>
        <w:overflowPunct/>
        <w:topLinePunct w:val="0"/>
        <w:autoSpaceDE/>
        <w:autoSpaceDN/>
        <w:bidi w:val="0"/>
        <w:adjustRightInd/>
        <w:snapToGrid/>
        <w:spacing w:before="100" w:beforeAutospacing="1" w:after="100" w:afterAutospacing="1" w:line="480" w:lineRule="auto"/>
        <w:ind w:firstLine="420" w:firstLineChars="200"/>
        <w:textAlignment w:val="auto"/>
        <w:rPr>
          <w:color w:val="auto"/>
        </w:rPr>
      </w:pPr>
    </w:p>
    <w:p>
      <w:pPr>
        <w:keepNext w:val="0"/>
        <w:keepLines w:val="0"/>
        <w:pageBreakBefore w:val="0"/>
        <w:widowControl w:val="0"/>
        <w:kinsoku/>
        <w:wordWrap/>
        <w:overflowPunct/>
        <w:topLinePunct w:val="0"/>
        <w:autoSpaceDE/>
        <w:autoSpaceDN/>
        <w:bidi w:val="0"/>
        <w:adjustRightInd/>
        <w:snapToGrid/>
        <w:spacing w:before="100" w:beforeAutospacing="1" w:after="100" w:afterAutospacing="1" w:line="480" w:lineRule="auto"/>
        <w:ind w:firstLine="420" w:firstLineChars="200"/>
        <w:textAlignment w:val="auto"/>
        <w:rPr>
          <w:color w:val="auto"/>
        </w:rPr>
      </w:pPr>
    </w:p>
    <w:p>
      <w:pPr>
        <w:keepNext w:val="0"/>
        <w:keepLines w:val="0"/>
        <w:pageBreakBefore w:val="0"/>
        <w:widowControl w:val="0"/>
        <w:kinsoku/>
        <w:wordWrap/>
        <w:overflowPunct/>
        <w:topLinePunct w:val="0"/>
        <w:autoSpaceDE/>
        <w:autoSpaceDN/>
        <w:bidi w:val="0"/>
        <w:adjustRightInd/>
        <w:snapToGrid/>
        <w:spacing w:before="100" w:beforeAutospacing="1" w:after="100" w:afterAutospacing="1" w:line="480" w:lineRule="auto"/>
        <w:ind w:firstLine="420" w:firstLineChars="200"/>
        <w:textAlignment w:val="auto"/>
        <w:rPr>
          <w:color w:val="auto"/>
        </w:rPr>
      </w:pPr>
    </w:p>
    <w:p>
      <w:pPr>
        <w:keepNext w:val="0"/>
        <w:keepLines w:val="0"/>
        <w:pageBreakBefore w:val="0"/>
        <w:widowControl w:val="0"/>
        <w:kinsoku/>
        <w:wordWrap/>
        <w:overflowPunct/>
        <w:topLinePunct w:val="0"/>
        <w:autoSpaceDE/>
        <w:autoSpaceDN/>
        <w:bidi w:val="0"/>
        <w:adjustRightInd/>
        <w:snapToGrid/>
        <w:spacing w:before="100" w:beforeAutospacing="1" w:after="100" w:afterAutospacing="1" w:line="480" w:lineRule="auto"/>
        <w:ind w:firstLine="420" w:firstLineChars="200"/>
        <w:textAlignment w:val="auto"/>
        <w:rPr>
          <w:color w:val="auto"/>
        </w:rPr>
      </w:pPr>
    </w:p>
    <w:p>
      <w:pPr>
        <w:keepNext w:val="0"/>
        <w:keepLines w:val="0"/>
        <w:pageBreakBefore w:val="0"/>
        <w:widowControl w:val="0"/>
        <w:kinsoku/>
        <w:wordWrap/>
        <w:overflowPunct/>
        <w:topLinePunct w:val="0"/>
        <w:autoSpaceDE/>
        <w:autoSpaceDN/>
        <w:bidi w:val="0"/>
        <w:adjustRightInd/>
        <w:snapToGrid/>
        <w:spacing w:before="100" w:beforeAutospacing="1" w:after="100" w:afterAutospacing="1" w:line="480" w:lineRule="auto"/>
        <w:ind w:firstLine="420" w:firstLineChars="200"/>
        <w:textAlignment w:val="auto"/>
        <w:rPr>
          <w:color w:val="auto"/>
        </w:rPr>
      </w:pPr>
    </w:p>
    <w:p>
      <w:pPr>
        <w:keepNext w:val="0"/>
        <w:keepLines w:val="0"/>
        <w:pageBreakBefore w:val="0"/>
        <w:widowControl w:val="0"/>
        <w:kinsoku/>
        <w:wordWrap/>
        <w:overflowPunct/>
        <w:topLinePunct w:val="0"/>
        <w:autoSpaceDE/>
        <w:autoSpaceDN/>
        <w:bidi w:val="0"/>
        <w:adjustRightInd/>
        <w:snapToGrid/>
        <w:spacing w:before="100" w:beforeAutospacing="1" w:after="100" w:afterAutospacing="1" w:line="480" w:lineRule="auto"/>
        <w:ind w:firstLine="420" w:firstLineChars="200"/>
        <w:textAlignment w:val="auto"/>
        <w:rPr>
          <w:color w:val="auto"/>
        </w:rPr>
      </w:pPr>
    </w:p>
    <w:p>
      <w:pPr>
        <w:keepNext w:val="0"/>
        <w:keepLines w:val="0"/>
        <w:pageBreakBefore w:val="0"/>
        <w:widowControl w:val="0"/>
        <w:kinsoku/>
        <w:wordWrap/>
        <w:overflowPunct/>
        <w:topLinePunct w:val="0"/>
        <w:autoSpaceDE/>
        <w:autoSpaceDN/>
        <w:bidi w:val="0"/>
        <w:adjustRightInd/>
        <w:snapToGrid/>
        <w:spacing w:before="100" w:beforeAutospacing="1" w:after="100" w:afterAutospacing="1" w:line="480" w:lineRule="auto"/>
        <w:ind w:firstLine="420" w:firstLineChars="200"/>
        <w:textAlignment w:val="auto"/>
        <w:rPr>
          <w:color w:val="auto"/>
        </w:rPr>
      </w:pPr>
    </w:p>
    <w:p>
      <w:pPr>
        <w:keepNext w:val="0"/>
        <w:keepLines w:val="0"/>
        <w:pageBreakBefore w:val="0"/>
        <w:widowControl w:val="0"/>
        <w:kinsoku/>
        <w:wordWrap/>
        <w:overflowPunct/>
        <w:topLinePunct w:val="0"/>
        <w:autoSpaceDE/>
        <w:autoSpaceDN/>
        <w:bidi w:val="0"/>
        <w:adjustRightInd/>
        <w:snapToGrid/>
        <w:spacing w:before="100" w:beforeAutospacing="1" w:after="100" w:afterAutospacing="1" w:line="480" w:lineRule="auto"/>
        <w:ind w:firstLine="420" w:firstLineChars="200"/>
        <w:textAlignment w:val="auto"/>
        <w:rPr>
          <w:color w:val="auto"/>
        </w:rPr>
      </w:pPr>
    </w:p>
    <w:p>
      <w:pPr>
        <w:keepNext w:val="0"/>
        <w:keepLines w:val="0"/>
        <w:pageBreakBefore w:val="0"/>
        <w:widowControl w:val="0"/>
        <w:kinsoku/>
        <w:wordWrap/>
        <w:overflowPunct/>
        <w:topLinePunct w:val="0"/>
        <w:autoSpaceDE/>
        <w:autoSpaceDN/>
        <w:bidi w:val="0"/>
        <w:adjustRightInd/>
        <w:snapToGrid/>
        <w:spacing w:before="100" w:beforeAutospacing="1" w:after="100" w:afterAutospacing="1" w:line="480" w:lineRule="auto"/>
        <w:ind w:firstLine="420" w:firstLineChars="200"/>
        <w:textAlignment w:val="auto"/>
        <w:rPr>
          <w:color w:val="auto"/>
        </w:rPr>
      </w:pPr>
    </w:p>
    <w:p>
      <w:pPr>
        <w:keepNext w:val="0"/>
        <w:keepLines w:val="0"/>
        <w:pageBreakBefore w:val="0"/>
        <w:widowControl w:val="0"/>
        <w:kinsoku/>
        <w:wordWrap/>
        <w:overflowPunct/>
        <w:topLinePunct w:val="0"/>
        <w:autoSpaceDE/>
        <w:autoSpaceDN/>
        <w:bidi w:val="0"/>
        <w:adjustRightInd/>
        <w:snapToGrid/>
        <w:spacing w:before="100" w:beforeAutospacing="1" w:after="100" w:afterAutospacing="1" w:line="480" w:lineRule="auto"/>
        <w:ind w:firstLine="420" w:firstLineChars="200"/>
        <w:textAlignment w:val="auto"/>
        <w:rPr>
          <w:color w:val="auto"/>
        </w:rPr>
      </w:pPr>
    </w:p>
    <w:p>
      <w:pPr>
        <w:keepNext w:val="0"/>
        <w:keepLines w:val="0"/>
        <w:pageBreakBefore w:val="0"/>
        <w:widowControl w:val="0"/>
        <w:kinsoku/>
        <w:wordWrap/>
        <w:overflowPunct/>
        <w:topLinePunct w:val="0"/>
        <w:autoSpaceDE/>
        <w:autoSpaceDN/>
        <w:bidi w:val="0"/>
        <w:adjustRightInd/>
        <w:snapToGrid/>
        <w:spacing w:before="100" w:beforeAutospacing="1" w:after="100" w:afterAutospacing="1" w:line="480" w:lineRule="auto"/>
        <w:ind w:firstLine="420" w:firstLineChars="200"/>
        <w:textAlignment w:val="auto"/>
        <w:rPr>
          <w:color w:val="auto"/>
        </w:rPr>
      </w:pPr>
    </w:p>
    <w:p>
      <w:pPr>
        <w:keepNext w:val="0"/>
        <w:keepLines w:val="0"/>
        <w:pageBreakBefore w:val="0"/>
        <w:widowControl w:val="0"/>
        <w:kinsoku/>
        <w:wordWrap/>
        <w:overflowPunct/>
        <w:topLinePunct w:val="0"/>
        <w:autoSpaceDE/>
        <w:autoSpaceDN/>
        <w:bidi w:val="0"/>
        <w:adjustRightInd/>
        <w:snapToGrid/>
        <w:spacing w:before="100" w:beforeAutospacing="1" w:after="100" w:afterAutospacing="1" w:line="480" w:lineRule="auto"/>
        <w:ind w:firstLine="420" w:firstLineChars="200"/>
        <w:textAlignment w:val="auto"/>
        <w:rPr>
          <w:color w:val="auto"/>
        </w:rPr>
      </w:pPr>
    </w:p>
    <w:p>
      <w:pPr>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w:t>
      </w:r>
    </w:p>
    <w:p>
      <w:pPr>
        <w:rPr>
          <w:rFonts w:hint="eastAsia" w:ascii="黑体" w:hAnsi="黑体" w:eastAsia="黑体" w:cs="黑体"/>
          <w:color w:val="auto"/>
          <w:sz w:val="21"/>
          <w:szCs w:val="21"/>
          <w:lang w:val="en-US" w:eastAsia="zh-CN"/>
        </w:rPr>
      </w:pPr>
    </w:p>
    <w:p>
      <w:pPr>
        <w:jc w:val="center"/>
        <w:rPr>
          <w:rFonts w:hint="eastAsia" w:asciiTheme="minorEastAsia" w:hAnsiTheme="minorEastAsia" w:eastAsiaTheme="minorEastAsia" w:cstheme="minorEastAsia"/>
          <w:color w:val="auto"/>
          <w:sz w:val="36"/>
          <w:szCs w:val="36"/>
          <w:lang w:val="en-US" w:eastAsia="zh-CN"/>
        </w:rPr>
      </w:pPr>
      <w:r>
        <w:rPr>
          <w:rFonts w:hint="eastAsia" w:asciiTheme="minorEastAsia" w:hAnsiTheme="minorEastAsia" w:eastAsiaTheme="minorEastAsia" w:cstheme="minorEastAsia"/>
          <w:color w:val="auto"/>
          <w:sz w:val="36"/>
          <w:szCs w:val="36"/>
          <w:lang w:val="en-US" w:eastAsia="zh-CN"/>
        </w:rPr>
        <w:t>云南省服务外包重点企业及重点培训机构申请表</w:t>
      </w:r>
    </w:p>
    <w:p>
      <w:pPr>
        <w:jc w:val="center"/>
        <w:rPr>
          <w:rFonts w:hint="eastAsia" w:asciiTheme="minorEastAsia" w:hAnsiTheme="minorEastAsia" w:eastAsiaTheme="minorEastAsia" w:cstheme="minorEastAsia"/>
          <w:color w:val="auto"/>
          <w:sz w:val="36"/>
          <w:szCs w:val="36"/>
          <w:lang w:val="en-US" w:eastAsia="zh-CN"/>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5"/>
        <w:gridCol w:w="1740"/>
        <w:gridCol w:w="225"/>
        <w:gridCol w:w="226"/>
        <w:gridCol w:w="1124"/>
        <w:gridCol w:w="555"/>
        <w:gridCol w:w="1515"/>
        <w:gridCol w:w="435"/>
        <w:gridCol w:w="466"/>
        <w:gridCol w:w="1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395" w:type="dxa"/>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仿宋" w:hAnsi="仿宋" w:eastAsia="仿宋"/>
                <w:color w:val="auto"/>
              </w:rPr>
            </w:pPr>
            <w:r>
              <w:rPr>
                <w:rFonts w:hint="eastAsia" w:ascii="仿宋" w:hAnsi="仿宋" w:eastAsia="仿宋"/>
                <w:color w:val="auto"/>
                <w:sz w:val="28"/>
                <w:szCs w:val="28"/>
              </w:rPr>
              <w:t>单位名称</w:t>
            </w:r>
          </w:p>
        </w:tc>
        <w:tc>
          <w:tcPr>
            <w:tcW w:w="3315" w:type="dxa"/>
            <w:gridSpan w:val="4"/>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仿宋" w:hAnsi="仿宋" w:eastAsia="仿宋"/>
                <w:color w:val="auto"/>
              </w:rPr>
            </w:pPr>
          </w:p>
        </w:tc>
        <w:tc>
          <w:tcPr>
            <w:tcW w:w="2070" w:type="dxa"/>
            <w:gridSpan w:val="2"/>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仿宋" w:hAnsi="仿宋" w:eastAsia="仿宋"/>
                <w:color w:val="auto"/>
              </w:rPr>
            </w:pPr>
            <w:r>
              <w:rPr>
                <w:rFonts w:hint="eastAsia" w:ascii="仿宋" w:hAnsi="仿宋" w:eastAsia="仿宋"/>
                <w:color w:val="auto"/>
                <w:spacing w:val="-28"/>
                <w:sz w:val="28"/>
                <w:szCs w:val="28"/>
              </w:rPr>
              <w:t>注册地</w:t>
            </w:r>
          </w:p>
        </w:tc>
        <w:tc>
          <w:tcPr>
            <w:tcW w:w="2474" w:type="dxa"/>
            <w:gridSpan w:val="3"/>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仿宋" w:hAnsi="仿宋" w:eastAsia="仿宋"/>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395" w:type="dxa"/>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仿宋" w:hAnsi="仿宋" w:eastAsia="仿宋"/>
                <w:color w:val="auto"/>
                <w:sz w:val="28"/>
                <w:szCs w:val="28"/>
              </w:rPr>
            </w:pPr>
            <w:r>
              <w:rPr>
                <w:rFonts w:hint="eastAsia" w:ascii="仿宋" w:hAnsi="仿宋" w:eastAsia="仿宋"/>
                <w:color w:val="auto"/>
                <w:sz w:val="28"/>
                <w:szCs w:val="28"/>
              </w:rPr>
              <w:t>企业代码</w:t>
            </w:r>
          </w:p>
        </w:tc>
        <w:tc>
          <w:tcPr>
            <w:tcW w:w="3315"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ascii="仿宋" w:hAnsi="仿宋" w:eastAsia="仿宋"/>
                <w:color w:val="auto"/>
                <w:sz w:val="28"/>
                <w:szCs w:val="28"/>
              </w:rPr>
            </w:pPr>
          </w:p>
        </w:tc>
        <w:tc>
          <w:tcPr>
            <w:tcW w:w="207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仿宋" w:hAnsi="仿宋" w:eastAsia="仿宋"/>
                <w:color w:val="auto"/>
                <w:spacing w:val="-28"/>
                <w:sz w:val="28"/>
                <w:szCs w:val="28"/>
              </w:rPr>
            </w:pPr>
            <w:r>
              <w:rPr>
                <w:rFonts w:hint="eastAsia" w:ascii="仿宋" w:hAnsi="仿宋" w:eastAsia="仿宋"/>
                <w:color w:val="auto"/>
                <w:spacing w:val="-28"/>
                <w:sz w:val="28"/>
                <w:szCs w:val="28"/>
              </w:rPr>
              <w:t>具体地址</w:t>
            </w:r>
          </w:p>
        </w:tc>
        <w:tc>
          <w:tcPr>
            <w:tcW w:w="2474"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仿宋" w:hAnsi="仿宋" w:eastAsia="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3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仿宋" w:hAnsi="仿宋" w:eastAsia="仿宋"/>
                <w:color w:val="auto"/>
                <w:spacing w:val="-28"/>
                <w:sz w:val="28"/>
                <w:szCs w:val="28"/>
              </w:rPr>
            </w:pPr>
            <w:r>
              <w:rPr>
                <w:rFonts w:hint="eastAsia" w:ascii="仿宋" w:hAnsi="仿宋" w:eastAsia="仿宋"/>
                <w:color w:val="auto"/>
                <w:spacing w:val="-28"/>
                <w:sz w:val="28"/>
                <w:szCs w:val="28"/>
              </w:rPr>
              <w:t>法定代表人</w:t>
            </w:r>
          </w:p>
        </w:tc>
        <w:tc>
          <w:tcPr>
            <w:tcW w:w="3315"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仿宋" w:hAnsi="仿宋" w:eastAsia="仿宋"/>
                <w:color w:val="auto"/>
              </w:rPr>
            </w:pPr>
          </w:p>
        </w:tc>
        <w:tc>
          <w:tcPr>
            <w:tcW w:w="207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仿宋" w:hAnsi="仿宋" w:eastAsia="仿宋"/>
                <w:color w:val="auto"/>
              </w:rPr>
            </w:pPr>
            <w:r>
              <w:rPr>
                <w:rFonts w:hint="eastAsia" w:ascii="仿宋" w:hAnsi="仿宋" w:eastAsia="仿宋"/>
                <w:color w:val="auto"/>
                <w:spacing w:val="-28"/>
                <w:sz w:val="28"/>
                <w:szCs w:val="28"/>
              </w:rPr>
              <w:t>联系人及电话</w:t>
            </w:r>
          </w:p>
        </w:tc>
        <w:tc>
          <w:tcPr>
            <w:tcW w:w="2474"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仿宋" w:hAnsi="仿宋" w:eastAsia="仿宋"/>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exact"/>
          <w:jc w:val="center"/>
        </w:trPr>
        <w:tc>
          <w:tcPr>
            <w:tcW w:w="1395" w:type="dxa"/>
            <w:vMerge w:val="restart"/>
            <w:tcBorders>
              <w:top w:val="single" w:color="auto" w:sz="4" w:space="0"/>
              <w:left w:val="single" w:color="auto" w:sz="4" w:space="0"/>
              <w:right w:val="single" w:color="auto" w:sz="4" w:space="0"/>
            </w:tcBorders>
            <w:noWrap w:val="0"/>
            <w:vAlign w:val="center"/>
          </w:tcPr>
          <w:p>
            <w:pPr>
              <w:spacing w:line="320" w:lineRule="exact"/>
              <w:jc w:val="center"/>
              <w:rPr>
                <w:rFonts w:ascii="仿宋" w:hAnsi="仿宋" w:eastAsia="仿宋"/>
                <w:color w:val="auto"/>
                <w:sz w:val="28"/>
                <w:szCs w:val="28"/>
              </w:rPr>
            </w:pPr>
            <w:r>
              <w:rPr>
                <w:rFonts w:hint="eastAsia" w:ascii="仿宋" w:hAnsi="仿宋" w:eastAsia="仿宋"/>
                <w:color w:val="auto"/>
                <w:sz w:val="28"/>
                <w:szCs w:val="28"/>
              </w:rPr>
              <w:t>重点企业填报</w:t>
            </w:r>
          </w:p>
        </w:tc>
        <w:tc>
          <w:tcPr>
            <w:tcW w:w="17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仿宋" w:hAnsi="仿宋" w:eastAsia="仿宋"/>
                <w:color w:val="auto"/>
                <w:sz w:val="24"/>
              </w:rPr>
            </w:pPr>
            <w:r>
              <w:rPr>
                <w:rFonts w:hint="eastAsia" w:ascii="仿宋" w:hAnsi="仿宋" w:eastAsia="仿宋"/>
                <w:color w:val="auto"/>
                <w:sz w:val="24"/>
              </w:rPr>
              <w:t>企业性质</w:t>
            </w:r>
          </w:p>
        </w:tc>
        <w:tc>
          <w:tcPr>
            <w:tcW w:w="6119"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ind w:firstLine="480" w:firstLineChars="200"/>
              <w:textAlignment w:val="auto"/>
              <w:rPr>
                <w:rFonts w:ascii="仿宋" w:hAnsi="仿宋" w:eastAsia="仿宋"/>
                <w:color w:val="auto"/>
                <w:sz w:val="24"/>
              </w:rPr>
            </w:pPr>
            <w:r>
              <w:rPr>
                <w:rFonts w:hint="eastAsia" w:ascii="仿宋" w:hAnsi="仿宋" w:eastAsia="仿宋"/>
                <w:color w:val="auto"/>
                <w:sz w:val="24"/>
              </w:rPr>
              <w:t xml:space="preserve">内资企业（国有）□    内资企业（其他）□ </w:t>
            </w:r>
          </w:p>
          <w:p>
            <w:pPr>
              <w:keepNext w:val="0"/>
              <w:keepLines w:val="0"/>
              <w:pageBreakBefore w:val="0"/>
              <w:kinsoku/>
              <w:wordWrap/>
              <w:overflowPunct/>
              <w:topLinePunct w:val="0"/>
              <w:autoSpaceDE/>
              <w:autoSpaceDN/>
              <w:bidi w:val="0"/>
              <w:adjustRightInd/>
              <w:snapToGrid/>
              <w:spacing w:line="300" w:lineRule="exact"/>
              <w:ind w:firstLine="480" w:firstLineChars="200"/>
              <w:jc w:val="left"/>
              <w:textAlignment w:val="auto"/>
              <w:rPr>
                <w:rFonts w:ascii="仿宋" w:hAnsi="仿宋" w:eastAsia="仿宋"/>
                <w:color w:val="auto"/>
                <w:sz w:val="24"/>
              </w:rPr>
            </w:pPr>
            <w:r>
              <w:rPr>
                <w:rFonts w:hint="eastAsia" w:ascii="仿宋" w:hAnsi="仿宋" w:eastAsia="仿宋"/>
                <w:color w:val="auto"/>
                <w:sz w:val="24"/>
              </w:rPr>
              <w:t>中外合资（合作）</w:t>
            </w:r>
            <w:r>
              <w:rPr>
                <w:rFonts w:hint="eastAsia" w:ascii="仿宋" w:hAnsi="仿宋" w:eastAsia="仿宋"/>
                <w:color w:val="auto"/>
                <w:sz w:val="24"/>
              </w:rPr>
              <w:sym w:font="Wingdings 2" w:char="00A3"/>
            </w:r>
            <w:r>
              <w:rPr>
                <w:rFonts w:hint="eastAsia" w:ascii="仿宋" w:hAnsi="仿宋" w:eastAsia="仿宋"/>
                <w:color w:val="auto"/>
                <w:sz w:val="24"/>
              </w:rPr>
              <w:t xml:space="preserve">    外资企业□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5" w:type="dxa"/>
            <w:vMerge w:val="continue"/>
            <w:tcBorders>
              <w:left w:val="single" w:color="auto" w:sz="4" w:space="0"/>
              <w:right w:val="single" w:color="auto" w:sz="4" w:space="0"/>
            </w:tcBorders>
            <w:noWrap w:val="0"/>
            <w:vAlign w:val="center"/>
          </w:tcPr>
          <w:p>
            <w:pPr>
              <w:spacing w:line="320" w:lineRule="exact"/>
              <w:jc w:val="center"/>
              <w:rPr>
                <w:rFonts w:ascii="仿宋" w:hAnsi="仿宋" w:eastAsia="仿宋"/>
                <w:color w:val="auto"/>
                <w:sz w:val="28"/>
                <w:szCs w:val="28"/>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仿宋" w:hAnsi="仿宋" w:eastAsia="仿宋"/>
                <w:color w:val="auto"/>
                <w:sz w:val="24"/>
              </w:rPr>
            </w:pPr>
            <w:r>
              <w:rPr>
                <w:rFonts w:hint="eastAsia" w:ascii="仿宋" w:hAnsi="仿宋" w:eastAsia="仿宋"/>
                <w:color w:val="auto"/>
                <w:sz w:val="24"/>
              </w:rPr>
              <w:t>主要业务类型</w:t>
            </w:r>
          </w:p>
        </w:tc>
        <w:tc>
          <w:tcPr>
            <w:tcW w:w="6119"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ascii="仿宋" w:hAnsi="仿宋" w:eastAsia="仿宋"/>
                <w:color w:val="auto"/>
                <w:sz w:val="24"/>
              </w:rPr>
            </w:pPr>
            <w:r>
              <w:rPr>
                <w:rFonts w:hint="eastAsia" w:ascii="仿宋" w:hAnsi="仿宋" w:eastAsia="仿宋"/>
                <w:color w:val="auto"/>
                <w:sz w:val="24"/>
              </w:rPr>
              <w:t>ITO</w:t>
            </w:r>
            <w:r>
              <w:rPr>
                <w:rFonts w:hint="eastAsia" w:ascii="仿宋" w:hAnsi="仿宋" w:eastAsia="仿宋"/>
                <w:color w:val="auto"/>
                <w:sz w:val="24"/>
              </w:rPr>
              <w:sym w:font="Wingdings 2" w:char="00A3"/>
            </w:r>
            <w:r>
              <w:rPr>
                <w:rFonts w:hint="eastAsia" w:ascii="仿宋" w:hAnsi="仿宋" w:eastAsia="仿宋"/>
                <w:color w:val="auto"/>
                <w:sz w:val="24"/>
              </w:rPr>
              <w:t xml:space="preserve">       BPO</w:t>
            </w:r>
            <w:r>
              <w:rPr>
                <w:rFonts w:hint="eastAsia" w:ascii="仿宋" w:hAnsi="仿宋" w:eastAsia="仿宋"/>
                <w:color w:val="auto"/>
                <w:sz w:val="24"/>
              </w:rPr>
              <w:sym w:font="Wingdings 2" w:char="00A3"/>
            </w:r>
            <w:r>
              <w:rPr>
                <w:rFonts w:hint="eastAsia" w:ascii="仿宋" w:hAnsi="仿宋" w:eastAsia="仿宋"/>
                <w:color w:val="auto"/>
                <w:sz w:val="24"/>
              </w:rPr>
              <w:t xml:space="preserve">       KPO □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exact"/>
          <w:jc w:val="center"/>
        </w:trPr>
        <w:tc>
          <w:tcPr>
            <w:tcW w:w="1395" w:type="dxa"/>
            <w:vMerge w:val="continue"/>
            <w:tcBorders>
              <w:left w:val="single" w:color="auto" w:sz="4" w:space="0"/>
              <w:right w:val="single" w:color="auto" w:sz="4" w:space="0"/>
            </w:tcBorders>
            <w:noWrap w:val="0"/>
            <w:vAlign w:val="center"/>
          </w:tcPr>
          <w:p>
            <w:pPr>
              <w:spacing w:line="320" w:lineRule="exact"/>
              <w:jc w:val="center"/>
              <w:rPr>
                <w:rFonts w:ascii="仿宋" w:hAnsi="仿宋" w:eastAsia="仿宋"/>
                <w:color w:val="auto"/>
                <w:sz w:val="28"/>
                <w:szCs w:val="28"/>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仿宋" w:hAnsi="仿宋" w:eastAsia="仿宋"/>
                <w:color w:val="auto"/>
                <w:sz w:val="24"/>
              </w:rPr>
            </w:pPr>
            <w:r>
              <w:rPr>
                <w:rFonts w:hint="eastAsia" w:ascii="仿宋" w:hAnsi="仿宋" w:eastAsia="仿宋"/>
                <w:color w:val="auto"/>
                <w:sz w:val="24"/>
              </w:rPr>
              <w:t>员工人数</w:t>
            </w:r>
          </w:p>
        </w:tc>
        <w:tc>
          <w:tcPr>
            <w:tcW w:w="2130"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仿宋" w:hAnsi="仿宋" w:eastAsia="仿宋"/>
                <w:color w:val="auto"/>
                <w:sz w:val="24"/>
              </w:rPr>
            </w:pPr>
          </w:p>
        </w:tc>
        <w:tc>
          <w:tcPr>
            <w:tcW w:w="15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ascii="仿宋" w:hAnsi="仿宋" w:eastAsia="仿宋"/>
                <w:color w:val="auto"/>
                <w:sz w:val="24"/>
              </w:rPr>
            </w:pPr>
            <w:r>
              <w:rPr>
                <w:rFonts w:hint="eastAsia" w:ascii="仿宋" w:hAnsi="仿宋" w:eastAsia="仿宋"/>
                <w:color w:val="auto"/>
                <w:sz w:val="24"/>
              </w:rPr>
              <w:t>服务外包</w:t>
            </w:r>
          </w:p>
          <w:p>
            <w:pPr>
              <w:keepNext w:val="0"/>
              <w:keepLines w:val="0"/>
              <w:pageBreakBefore w:val="0"/>
              <w:kinsoku/>
              <w:wordWrap/>
              <w:overflowPunct/>
              <w:topLinePunct w:val="0"/>
              <w:autoSpaceDE/>
              <w:autoSpaceDN/>
              <w:bidi w:val="0"/>
              <w:adjustRightInd/>
              <w:snapToGrid/>
              <w:spacing w:line="300" w:lineRule="exact"/>
              <w:jc w:val="center"/>
              <w:textAlignment w:val="auto"/>
              <w:rPr>
                <w:rFonts w:ascii="仿宋" w:hAnsi="仿宋" w:eastAsia="仿宋"/>
                <w:color w:val="auto"/>
                <w:sz w:val="24"/>
              </w:rPr>
            </w:pPr>
            <w:r>
              <w:rPr>
                <w:rFonts w:hint="eastAsia" w:ascii="仿宋" w:hAnsi="仿宋" w:eastAsia="仿宋"/>
                <w:color w:val="auto"/>
                <w:sz w:val="24"/>
              </w:rPr>
              <w:t>从业人数</w:t>
            </w:r>
          </w:p>
        </w:tc>
        <w:tc>
          <w:tcPr>
            <w:tcW w:w="2474"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ascii="仿宋" w:hAnsi="仿宋"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exact"/>
          <w:jc w:val="center"/>
        </w:trPr>
        <w:tc>
          <w:tcPr>
            <w:tcW w:w="1395" w:type="dxa"/>
            <w:vMerge w:val="continue"/>
            <w:tcBorders>
              <w:left w:val="single" w:color="auto" w:sz="4" w:space="0"/>
              <w:right w:val="single" w:color="auto" w:sz="4" w:space="0"/>
            </w:tcBorders>
            <w:noWrap w:val="0"/>
            <w:vAlign w:val="center"/>
          </w:tcPr>
          <w:p>
            <w:pPr>
              <w:spacing w:line="320" w:lineRule="exact"/>
              <w:jc w:val="center"/>
              <w:rPr>
                <w:rFonts w:ascii="仿宋" w:hAnsi="仿宋" w:eastAsia="仿宋"/>
                <w:color w:val="auto"/>
                <w:sz w:val="28"/>
                <w:szCs w:val="28"/>
              </w:rPr>
            </w:pPr>
          </w:p>
        </w:tc>
        <w:tc>
          <w:tcPr>
            <w:tcW w:w="2191"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ascii="仿宋" w:hAnsi="仿宋" w:eastAsia="仿宋"/>
                <w:color w:val="auto"/>
                <w:sz w:val="24"/>
              </w:rPr>
            </w:pPr>
            <w:r>
              <w:rPr>
                <w:rFonts w:hint="eastAsia" w:ascii="仿宋" w:hAnsi="仿宋" w:eastAsia="仿宋"/>
                <w:color w:val="auto"/>
                <w:sz w:val="24"/>
              </w:rPr>
              <w:t>上年度外包签约额</w:t>
            </w:r>
          </w:p>
        </w:tc>
        <w:tc>
          <w:tcPr>
            <w:tcW w:w="167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仿宋" w:hAnsi="仿宋" w:eastAsia="仿宋"/>
                <w:color w:val="auto"/>
                <w:sz w:val="24"/>
              </w:rPr>
            </w:pPr>
          </w:p>
        </w:tc>
        <w:tc>
          <w:tcPr>
            <w:tcW w:w="2416"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ascii="仿宋" w:hAnsi="仿宋" w:eastAsia="仿宋"/>
                <w:color w:val="auto"/>
                <w:sz w:val="24"/>
              </w:rPr>
            </w:pPr>
            <w:r>
              <w:rPr>
                <w:rFonts w:hint="eastAsia" w:ascii="仿宋" w:hAnsi="仿宋" w:eastAsia="仿宋"/>
                <w:color w:val="auto"/>
                <w:sz w:val="24"/>
              </w:rPr>
              <w:t>其中离岸外包签约额</w:t>
            </w:r>
          </w:p>
        </w:tc>
        <w:tc>
          <w:tcPr>
            <w:tcW w:w="15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仿宋" w:hAnsi="仿宋" w:eastAsia="仿宋"/>
                <w:color w:val="auto"/>
                <w:sz w:val="24"/>
              </w:rPr>
            </w:pPr>
          </w:p>
          <w:p>
            <w:pPr>
              <w:keepNext w:val="0"/>
              <w:keepLines w:val="0"/>
              <w:pageBreakBefore w:val="0"/>
              <w:kinsoku/>
              <w:wordWrap/>
              <w:overflowPunct/>
              <w:topLinePunct w:val="0"/>
              <w:autoSpaceDE/>
              <w:autoSpaceDN/>
              <w:bidi w:val="0"/>
              <w:adjustRightInd/>
              <w:snapToGrid/>
              <w:spacing w:line="300" w:lineRule="exact"/>
              <w:textAlignment w:val="auto"/>
              <w:rPr>
                <w:rFonts w:ascii="仿宋" w:hAnsi="仿宋"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jc w:val="center"/>
        </w:trPr>
        <w:tc>
          <w:tcPr>
            <w:tcW w:w="1395" w:type="dxa"/>
            <w:vMerge w:val="continue"/>
            <w:tcBorders>
              <w:left w:val="single" w:color="auto" w:sz="4" w:space="0"/>
              <w:right w:val="single" w:color="auto" w:sz="4" w:space="0"/>
            </w:tcBorders>
            <w:noWrap w:val="0"/>
            <w:vAlign w:val="center"/>
          </w:tcPr>
          <w:p>
            <w:pPr>
              <w:spacing w:line="320" w:lineRule="exact"/>
              <w:jc w:val="center"/>
              <w:rPr>
                <w:rFonts w:ascii="仿宋" w:hAnsi="仿宋" w:eastAsia="仿宋"/>
                <w:color w:val="auto"/>
                <w:sz w:val="28"/>
                <w:szCs w:val="28"/>
              </w:rPr>
            </w:pPr>
          </w:p>
        </w:tc>
        <w:tc>
          <w:tcPr>
            <w:tcW w:w="2191"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ascii="仿宋" w:hAnsi="仿宋" w:eastAsia="仿宋"/>
                <w:color w:val="auto"/>
                <w:sz w:val="24"/>
              </w:rPr>
            </w:pPr>
            <w:r>
              <w:rPr>
                <w:rFonts w:hint="eastAsia" w:ascii="仿宋" w:hAnsi="仿宋" w:eastAsia="仿宋"/>
                <w:color w:val="auto"/>
                <w:sz w:val="24"/>
              </w:rPr>
              <w:t>上年度外包执行额</w:t>
            </w:r>
          </w:p>
        </w:tc>
        <w:tc>
          <w:tcPr>
            <w:tcW w:w="167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仿宋" w:hAnsi="仿宋" w:eastAsia="仿宋"/>
                <w:color w:val="auto"/>
                <w:sz w:val="24"/>
              </w:rPr>
            </w:pPr>
          </w:p>
        </w:tc>
        <w:tc>
          <w:tcPr>
            <w:tcW w:w="2416"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ascii="仿宋" w:hAnsi="仿宋" w:eastAsia="仿宋"/>
                <w:color w:val="auto"/>
                <w:sz w:val="24"/>
              </w:rPr>
            </w:pPr>
            <w:r>
              <w:rPr>
                <w:rFonts w:hint="eastAsia" w:ascii="仿宋" w:hAnsi="仿宋" w:eastAsia="仿宋"/>
                <w:color w:val="auto"/>
                <w:sz w:val="24"/>
              </w:rPr>
              <w:t>其中离岸外包执行额</w:t>
            </w:r>
          </w:p>
        </w:tc>
        <w:tc>
          <w:tcPr>
            <w:tcW w:w="15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仿宋" w:hAnsi="仿宋"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exact"/>
          <w:jc w:val="center"/>
        </w:trPr>
        <w:tc>
          <w:tcPr>
            <w:tcW w:w="1395" w:type="dxa"/>
            <w:vMerge w:val="continue"/>
            <w:tcBorders>
              <w:left w:val="single" w:color="auto" w:sz="4" w:space="0"/>
              <w:bottom w:val="single" w:color="auto" w:sz="4" w:space="0"/>
              <w:right w:val="single" w:color="auto" w:sz="4" w:space="0"/>
            </w:tcBorders>
            <w:noWrap w:val="0"/>
            <w:vAlign w:val="center"/>
          </w:tcPr>
          <w:p>
            <w:pPr>
              <w:spacing w:line="320" w:lineRule="exact"/>
              <w:jc w:val="center"/>
              <w:rPr>
                <w:rFonts w:ascii="仿宋" w:hAnsi="仿宋" w:eastAsia="仿宋"/>
                <w:color w:val="auto"/>
                <w:sz w:val="28"/>
                <w:szCs w:val="28"/>
              </w:rPr>
            </w:pPr>
          </w:p>
        </w:tc>
        <w:tc>
          <w:tcPr>
            <w:tcW w:w="2191"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ascii="仿宋" w:hAnsi="仿宋" w:eastAsia="仿宋"/>
                <w:color w:val="auto"/>
                <w:sz w:val="24"/>
              </w:rPr>
            </w:pPr>
            <w:r>
              <w:rPr>
                <w:rFonts w:hint="eastAsia" w:ascii="仿宋" w:hAnsi="仿宋" w:eastAsia="仿宋"/>
                <w:color w:val="auto"/>
                <w:sz w:val="24"/>
              </w:rPr>
              <w:t>主要经营范围</w:t>
            </w:r>
          </w:p>
        </w:tc>
        <w:tc>
          <w:tcPr>
            <w:tcW w:w="5668"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仿宋" w:hAnsi="仿宋"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395" w:type="dxa"/>
            <w:vMerge w:val="restart"/>
            <w:tcBorders>
              <w:top w:val="single" w:color="auto" w:sz="4" w:space="0"/>
              <w:left w:val="single" w:color="auto" w:sz="4" w:space="0"/>
              <w:right w:val="single" w:color="auto" w:sz="4" w:space="0"/>
            </w:tcBorders>
            <w:noWrap w:val="0"/>
            <w:vAlign w:val="center"/>
          </w:tcPr>
          <w:p>
            <w:pPr>
              <w:spacing w:line="320" w:lineRule="exact"/>
              <w:jc w:val="center"/>
              <w:rPr>
                <w:rFonts w:ascii="仿宋" w:hAnsi="仿宋" w:eastAsia="仿宋"/>
                <w:color w:val="auto"/>
                <w:sz w:val="28"/>
                <w:szCs w:val="28"/>
              </w:rPr>
            </w:pPr>
            <w:r>
              <w:rPr>
                <w:rFonts w:hint="eastAsia" w:ascii="仿宋" w:hAnsi="仿宋" w:eastAsia="仿宋"/>
                <w:color w:val="auto"/>
                <w:sz w:val="28"/>
                <w:szCs w:val="28"/>
              </w:rPr>
              <w:t>重点培训机构填报</w:t>
            </w:r>
          </w:p>
        </w:tc>
        <w:tc>
          <w:tcPr>
            <w:tcW w:w="196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ascii="仿宋" w:hAnsi="仿宋" w:eastAsia="仿宋"/>
                <w:color w:val="auto"/>
                <w:sz w:val="24"/>
              </w:rPr>
            </w:pPr>
            <w:r>
              <w:rPr>
                <w:rFonts w:hint="eastAsia" w:ascii="仿宋" w:hAnsi="仿宋" w:eastAsia="仿宋"/>
                <w:color w:val="auto"/>
                <w:sz w:val="24"/>
              </w:rPr>
              <w:t>单位性质</w:t>
            </w:r>
          </w:p>
        </w:tc>
        <w:tc>
          <w:tcPr>
            <w:tcW w:w="5894" w:type="dxa"/>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ind w:firstLine="240" w:firstLineChars="100"/>
              <w:jc w:val="left"/>
              <w:textAlignment w:val="auto"/>
              <w:rPr>
                <w:rFonts w:ascii="仿宋" w:hAnsi="仿宋" w:eastAsia="仿宋"/>
                <w:color w:val="auto"/>
                <w:sz w:val="24"/>
              </w:rPr>
            </w:pPr>
            <w:r>
              <w:rPr>
                <w:rFonts w:hint="eastAsia" w:ascii="仿宋" w:hAnsi="仿宋" w:eastAsia="仿宋"/>
                <w:color w:val="auto"/>
                <w:sz w:val="24"/>
              </w:rPr>
              <w:t>高等院校□   培训机构</w:t>
            </w:r>
            <w:r>
              <w:rPr>
                <w:rFonts w:hint="eastAsia" w:ascii="仿宋" w:hAnsi="仿宋" w:eastAsia="仿宋"/>
                <w:color w:val="auto"/>
                <w:sz w:val="24"/>
              </w:rPr>
              <w:sym w:font="Wingdings 2" w:char="00A3"/>
            </w:r>
            <w:r>
              <w:rPr>
                <w:rFonts w:hint="eastAsia" w:ascii="仿宋" w:hAnsi="仿宋" w:eastAsia="仿宋"/>
                <w:color w:val="auto"/>
                <w:sz w:val="24"/>
              </w:rPr>
              <w:t xml:space="preserve">   企业</w:t>
            </w:r>
            <w:r>
              <w:rPr>
                <w:rFonts w:hint="eastAsia" w:ascii="仿宋" w:hAnsi="仿宋" w:eastAsia="仿宋"/>
                <w:color w:val="auto"/>
                <w:sz w:val="24"/>
              </w:rPr>
              <w:sym w:font="Wingdings 2" w:char="00A3"/>
            </w:r>
            <w:r>
              <w:rPr>
                <w:rFonts w:hint="eastAsia" w:ascii="仿宋" w:hAnsi="仿宋" w:eastAsia="仿宋"/>
                <w:color w:val="auto"/>
                <w:sz w:val="24"/>
              </w:rPr>
              <w:t xml:space="preserve">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395" w:type="dxa"/>
            <w:vMerge w:val="continue"/>
            <w:tcBorders>
              <w:left w:val="single" w:color="auto" w:sz="4" w:space="0"/>
              <w:right w:val="single" w:color="auto" w:sz="4" w:space="0"/>
            </w:tcBorders>
            <w:noWrap w:val="0"/>
            <w:vAlign w:val="center"/>
          </w:tcPr>
          <w:p>
            <w:pPr>
              <w:spacing w:line="320" w:lineRule="exact"/>
              <w:jc w:val="center"/>
              <w:rPr>
                <w:rFonts w:ascii="仿宋" w:hAnsi="仿宋" w:eastAsia="仿宋"/>
                <w:color w:val="auto"/>
                <w:sz w:val="28"/>
                <w:szCs w:val="28"/>
              </w:rPr>
            </w:pPr>
          </w:p>
        </w:tc>
        <w:tc>
          <w:tcPr>
            <w:tcW w:w="196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ascii="仿宋" w:hAnsi="仿宋" w:eastAsia="仿宋"/>
                <w:color w:val="auto"/>
                <w:sz w:val="28"/>
                <w:szCs w:val="28"/>
              </w:rPr>
            </w:pPr>
            <w:r>
              <w:rPr>
                <w:rFonts w:hint="eastAsia" w:ascii="仿宋" w:hAnsi="仿宋" w:eastAsia="仿宋"/>
                <w:color w:val="auto"/>
                <w:sz w:val="24"/>
              </w:rPr>
              <w:t>上年度服务外包实训人数(人次)</w:t>
            </w:r>
          </w:p>
        </w:tc>
        <w:tc>
          <w:tcPr>
            <w:tcW w:w="1905"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ascii="仿宋" w:hAnsi="仿宋" w:eastAsia="仿宋"/>
                <w:color w:val="auto"/>
                <w:sz w:val="28"/>
                <w:szCs w:val="28"/>
              </w:rPr>
            </w:pPr>
          </w:p>
        </w:tc>
        <w:tc>
          <w:tcPr>
            <w:tcW w:w="195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ascii="仿宋" w:hAnsi="仿宋" w:eastAsia="仿宋"/>
                <w:color w:val="auto"/>
                <w:sz w:val="24"/>
              </w:rPr>
            </w:pPr>
            <w:r>
              <w:rPr>
                <w:rFonts w:hint="eastAsia" w:ascii="仿宋" w:hAnsi="仿宋" w:eastAsia="仿宋"/>
                <w:color w:val="auto"/>
                <w:sz w:val="24"/>
              </w:rPr>
              <w:t>实训教师数</w:t>
            </w:r>
          </w:p>
          <w:p>
            <w:pPr>
              <w:keepNext w:val="0"/>
              <w:keepLines w:val="0"/>
              <w:pageBreakBefore w:val="0"/>
              <w:kinsoku/>
              <w:wordWrap/>
              <w:overflowPunct/>
              <w:topLinePunct w:val="0"/>
              <w:autoSpaceDE/>
              <w:autoSpaceDN/>
              <w:bidi w:val="0"/>
              <w:adjustRightInd/>
              <w:snapToGrid/>
              <w:spacing w:line="300" w:lineRule="exact"/>
              <w:jc w:val="center"/>
              <w:textAlignment w:val="auto"/>
              <w:rPr>
                <w:rFonts w:ascii="仿宋" w:hAnsi="仿宋" w:eastAsia="仿宋"/>
                <w:color w:val="auto"/>
                <w:sz w:val="28"/>
                <w:szCs w:val="28"/>
              </w:rPr>
            </w:pPr>
            <w:r>
              <w:rPr>
                <w:rFonts w:hint="eastAsia" w:ascii="仿宋" w:hAnsi="仿宋" w:eastAsia="仿宋"/>
                <w:color w:val="auto"/>
                <w:sz w:val="24"/>
              </w:rPr>
              <w:t>（人）</w:t>
            </w:r>
          </w:p>
        </w:tc>
        <w:tc>
          <w:tcPr>
            <w:tcW w:w="203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left"/>
              <w:textAlignment w:val="auto"/>
              <w:rPr>
                <w:rFonts w:ascii="仿宋" w:hAnsi="仿宋" w:eastAsia="仿宋"/>
                <w:color w:val="auto"/>
                <w:sz w:val="24"/>
              </w:rPr>
            </w:pPr>
            <w:r>
              <w:rPr>
                <w:rFonts w:hint="eastAsia" w:ascii="仿宋" w:hAnsi="仿宋" w:eastAsia="仿宋"/>
                <w:color w:val="auto"/>
                <w:sz w:val="24"/>
              </w:rPr>
              <w:t>专职：</w:t>
            </w:r>
          </w:p>
          <w:p>
            <w:pPr>
              <w:keepNext w:val="0"/>
              <w:keepLines w:val="0"/>
              <w:pageBreakBefore w:val="0"/>
              <w:kinsoku/>
              <w:wordWrap/>
              <w:overflowPunct/>
              <w:topLinePunct w:val="0"/>
              <w:autoSpaceDE/>
              <w:autoSpaceDN/>
              <w:bidi w:val="0"/>
              <w:adjustRightInd/>
              <w:snapToGrid/>
              <w:spacing w:line="300" w:lineRule="exact"/>
              <w:jc w:val="left"/>
              <w:textAlignment w:val="auto"/>
              <w:rPr>
                <w:rFonts w:ascii="仿宋" w:hAnsi="仿宋" w:eastAsia="仿宋"/>
                <w:color w:val="auto"/>
                <w:sz w:val="28"/>
                <w:szCs w:val="28"/>
              </w:rPr>
            </w:pPr>
            <w:r>
              <w:rPr>
                <w:rFonts w:hint="eastAsia" w:ascii="仿宋" w:hAnsi="仿宋" w:eastAsia="仿宋"/>
                <w:color w:val="auto"/>
                <w:sz w:val="24"/>
              </w:rPr>
              <w:t>兼职：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395" w:type="dxa"/>
            <w:vMerge w:val="continue"/>
            <w:tcBorders>
              <w:left w:val="single" w:color="auto" w:sz="4" w:space="0"/>
              <w:right w:val="single" w:color="auto" w:sz="4" w:space="0"/>
            </w:tcBorders>
            <w:noWrap w:val="0"/>
            <w:vAlign w:val="center"/>
          </w:tcPr>
          <w:p>
            <w:pPr>
              <w:ind w:left="2310" w:hanging="2310" w:hangingChars="1100"/>
              <w:rPr>
                <w:color w:val="auto"/>
              </w:rPr>
            </w:pPr>
          </w:p>
        </w:tc>
        <w:tc>
          <w:tcPr>
            <w:tcW w:w="196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ascii="仿宋" w:hAnsi="仿宋" w:eastAsia="仿宋"/>
                <w:color w:val="auto"/>
                <w:sz w:val="24"/>
              </w:rPr>
            </w:pPr>
            <w:r>
              <w:rPr>
                <w:rFonts w:hint="eastAsia" w:ascii="仿宋" w:hAnsi="仿宋" w:eastAsia="仿宋"/>
                <w:color w:val="auto"/>
                <w:sz w:val="24"/>
              </w:rPr>
              <w:t>实训内容</w:t>
            </w:r>
          </w:p>
        </w:tc>
        <w:tc>
          <w:tcPr>
            <w:tcW w:w="1905"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ascii="仿宋" w:hAnsi="仿宋" w:eastAsia="仿宋"/>
                <w:color w:val="auto"/>
                <w:sz w:val="24"/>
              </w:rPr>
            </w:pPr>
          </w:p>
        </w:tc>
        <w:tc>
          <w:tcPr>
            <w:tcW w:w="195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ascii="仿宋" w:hAnsi="仿宋" w:eastAsia="仿宋"/>
                <w:color w:val="auto"/>
                <w:sz w:val="24"/>
              </w:rPr>
            </w:pPr>
            <w:r>
              <w:rPr>
                <w:rFonts w:hint="eastAsia" w:ascii="仿宋" w:hAnsi="仿宋" w:eastAsia="仿宋"/>
                <w:color w:val="auto"/>
                <w:sz w:val="24"/>
              </w:rPr>
              <w:t>人均实训时间</w:t>
            </w:r>
          </w:p>
        </w:tc>
        <w:tc>
          <w:tcPr>
            <w:tcW w:w="203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ascii="仿宋" w:hAnsi="仿宋" w:eastAsia="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395" w:type="dxa"/>
            <w:vMerge w:val="continue"/>
            <w:tcBorders>
              <w:left w:val="single" w:color="auto" w:sz="4" w:space="0"/>
              <w:right w:val="single" w:color="auto" w:sz="4" w:space="0"/>
            </w:tcBorders>
            <w:noWrap w:val="0"/>
            <w:vAlign w:val="center"/>
          </w:tcPr>
          <w:p>
            <w:pPr>
              <w:ind w:left="3080" w:hanging="3080" w:hangingChars="1100"/>
              <w:rPr>
                <w:rFonts w:ascii="仿宋" w:hAnsi="仿宋" w:eastAsia="仿宋"/>
                <w:color w:val="auto"/>
                <w:sz w:val="28"/>
                <w:szCs w:val="28"/>
              </w:rPr>
            </w:pPr>
          </w:p>
        </w:tc>
        <w:tc>
          <w:tcPr>
            <w:tcW w:w="196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ascii="仿宋" w:hAnsi="仿宋" w:eastAsia="仿宋"/>
                <w:color w:val="auto"/>
                <w:sz w:val="24"/>
              </w:rPr>
            </w:pPr>
            <w:r>
              <w:rPr>
                <w:rFonts w:hint="eastAsia" w:ascii="仿宋" w:hAnsi="仿宋" w:eastAsia="仿宋"/>
                <w:color w:val="auto"/>
                <w:sz w:val="24"/>
              </w:rPr>
              <w:t>实训设备</w:t>
            </w:r>
          </w:p>
          <w:p>
            <w:pPr>
              <w:keepNext w:val="0"/>
              <w:keepLines w:val="0"/>
              <w:pageBreakBefore w:val="0"/>
              <w:kinsoku/>
              <w:wordWrap/>
              <w:overflowPunct/>
              <w:topLinePunct w:val="0"/>
              <w:autoSpaceDE/>
              <w:autoSpaceDN/>
              <w:bidi w:val="0"/>
              <w:adjustRightInd/>
              <w:snapToGrid/>
              <w:spacing w:line="300" w:lineRule="exact"/>
              <w:jc w:val="center"/>
              <w:textAlignment w:val="auto"/>
              <w:rPr>
                <w:rFonts w:ascii="仿宋" w:hAnsi="仿宋" w:eastAsia="仿宋"/>
                <w:color w:val="auto"/>
                <w:sz w:val="24"/>
              </w:rPr>
            </w:pPr>
            <w:r>
              <w:rPr>
                <w:rFonts w:hint="eastAsia" w:ascii="仿宋" w:hAnsi="仿宋" w:eastAsia="仿宋"/>
                <w:color w:val="auto"/>
                <w:sz w:val="24"/>
              </w:rPr>
              <w:t>（台数）</w:t>
            </w:r>
          </w:p>
        </w:tc>
        <w:tc>
          <w:tcPr>
            <w:tcW w:w="1905"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ascii="仿宋" w:hAnsi="仿宋" w:eastAsia="仿宋"/>
                <w:color w:val="auto"/>
                <w:sz w:val="24"/>
              </w:rPr>
            </w:pPr>
          </w:p>
        </w:tc>
        <w:tc>
          <w:tcPr>
            <w:tcW w:w="195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ascii="仿宋" w:hAnsi="仿宋" w:eastAsia="仿宋"/>
                <w:color w:val="auto"/>
                <w:sz w:val="24"/>
              </w:rPr>
            </w:pPr>
            <w:r>
              <w:rPr>
                <w:rFonts w:hint="eastAsia" w:ascii="仿宋" w:hAnsi="仿宋" w:eastAsia="仿宋"/>
                <w:color w:val="auto"/>
                <w:sz w:val="24"/>
              </w:rPr>
              <w:t>实训场地面积</w:t>
            </w:r>
          </w:p>
          <w:p>
            <w:pPr>
              <w:keepNext w:val="0"/>
              <w:keepLines w:val="0"/>
              <w:pageBreakBefore w:val="0"/>
              <w:kinsoku/>
              <w:wordWrap/>
              <w:overflowPunct/>
              <w:topLinePunct w:val="0"/>
              <w:autoSpaceDE/>
              <w:autoSpaceDN/>
              <w:bidi w:val="0"/>
              <w:adjustRightInd/>
              <w:snapToGrid/>
              <w:spacing w:line="300" w:lineRule="exact"/>
              <w:jc w:val="center"/>
              <w:textAlignment w:val="auto"/>
              <w:rPr>
                <w:rFonts w:ascii="仿宋" w:hAnsi="仿宋" w:eastAsia="仿宋"/>
                <w:color w:val="auto"/>
                <w:sz w:val="24"/>
              </w:rPr>
            </w:pPr>
            <w:r>
              <w:rPr>
                <w:rFonts w:hint="eastAsia" w:ascii="仿宋" w:hAnsi="仿宋" w:eastAsia="仿宋"/>
                <w:color w:val="auto"/>
                <w:sz w:val="24"/>
              </w:rPr>
              <w:t>（平方米）</w:t>
            </w:r>
          </w:p>
        </w:tc>
        <w:tc>
          <w:tcPr>
            <w:tcW w:w="203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ascii="仿宋" w:hAnsi="仿宋" w:eastAsia="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1395" w:type="dxa"/>
            <w:vMerge w:val="continue"/>
            <w:tcBorders>
              <w:left w:val="single" w:color="auto" w:sz="4" w:space="0"/>
              <w:bottom w:val="single" w:color="auto" w:sz="4" w:space="0"/>
              <w:right w:val="single" w:color="auto" w:sz="4" w:space="0"/>
            </w:tcBorders>
            <w:noWrap w:val="0"/>
            <w:vAlign w:val="center"/>
          </w:tcPr>
          <w:p>
            <w:pPr>
              <w:ind w:left="3080" w:hanging="3080" w:hangingChars="1100"/>
              <w:rPr>
                <w:rFonts w:ascii="仿宋" w:hAnsi="仿宋" w:eastAsia="仿宋"/>
                <w:color w:val="auto"/>
                <w:sz w:val="28"/>
                <w:szCs w:val="28"/>
              </w:rPr>
            </w:pPr>
          </w:p>
        </w:tc>
        <w:tc>
          <w:tcPr>
            <w:tcW w:w="196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ascii="仿宋" w:hAnsi="仿宋" w:eastAsia="仿宋"/>
                <w:color w:val="auto"/>
                <w:sz w:val="24"/>
              </w:rPr>
            </w:pPr>
            <w:r>
              <w:rPr>
                <w:rFonts w:hint="eastAsia" w:ascii="仿宋" w:hAnsi="仿宋" w:eastAsia="仿宋"/>
                <w:color w:val="auto"/>
                <w:sz w:val="24"/>
              </w:rPr>
              <w:t>上年度提供服务外包实习就业岗位数(个、人)</w:t>
            </w:r>
          </w:p>
        </w:tc>
        <w:tc>
          <w:tcPr>
            <w:tcW w:w="1905"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left"/>
              <w:textAlignment w:val="auto"/>
              <w:rPr>
                <w:rFonts w:ascii="仿宋" w:hAnsi="仿宋" w:eastAsia="仿宋"/>
                <w:color w:val="auto"/>
                <w:sz w:val="24"/>
              </w:rPr>
            </w:pPr>
            <w:r>
              <w:rPr>
                <w:rFonts w:hint="eastAsia" w:ascii="仿宋" w:hAnsi="仿宋" w:eastAsia="仿宋"/>
                <w:color w:val="auto"/>
                <w:sz w:val="24"/>
              </w:rPr>
              <w:t>实习岗位数：</w:t>
            </w:r>
          </w:p>
          <w:p>
            <w:pPr>
              <w:keepNext w:val="0"/>
              <w:keepLines w:val="0"/>
              <w:pageBreakBefore w:val="0"/>
              <w:kinsoku/>
              <w:wordWrap/>
              <w:overflowPunct/>
              <w:topLinePunct w:val="0"/>
              <w:autoSpaceDE/>
              <w:autoSpaceDN/>
              <w:bidi w:val="0"/>
              <w:adjustRightInd/>
              <w:snapToGrid/>
              <w:spacing w:line="300" w:lineRule="exact"/>
              <w:jc w:val="left"/>
              <w:textAlignment w:val="auto"/>
              <w:rPr>
                <w:rFonts w:ascii="仿宋" w:hAnsi="仿宋" w:eastAsia="仿宋"/>
                <w:color w:val="auto"/>
                <w:sz w:val="24"/>
              </w:rPr>
            </w:pPr>
            <w:r>
              <w:rPr>
                <w:rFonts w:hint="eastAsia" w:ascii="仿宋" w:hAnsi="仿宋" w:eastAsia="仿宋"/>
                <w:color w:val="auto"/>
                <w:sz w:val="24"/>
              </w:rPr>
              <w:t>就业人数：</w:t>
            </w:r>
          </w:p>
        </w:tc>
        <w:tc>
          <w:tcPr>
            <w:tcW w:w="195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ascii="仿宋" w:hAnsi="仿宋" w:eastAsia="仿宋"/>
                <w:color w:val="auto"/>
                <w:sz w:val="24"/>
              </w:rPr>
            </w:pPr>
            <w:r>
              <w:rPr>
                <w:rFonts w:hint="eastAsia" w:ascii="仿宋" w:hAnsi="仿宋" w:eastAsia="仿宋"/>
                <w:color w:val="auto"/>
                <w:sz w:val="24"/>
              </w:rPr>
              <w:t>上年度提供服务外包实习就业企业数（家）</w:t>
            </w:r>
          </w:p>
        </w:tc>
        <w:tc>
          <w:tcPr>
            <w:tcW w:w="203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left"/>
              <w:textAlignment w:val="auto"/>
              <w:rPr>
                <w:rFonts w:ascii="仿宋" w:hAnsi="仿宋" w:eastAsia="仿宋"/>
                <w:color w:val="auto"/>
                <w:sz w:val="24"/>
              </w:rPr>
            </w:pPr>
            <w:r>
              <w:rPr>
                <w:rFonts w:hint="eastAsia" w:ascii="仿宋" w:hAnsi="仿宋" w:eastAsia="仿宋"/>
                <w:color w:val="auto"/>
                <w:sz w:val="24"/>
              </w:rPr>
              <w:t xml:space="preserve">实习企业数：  </w:t>
            </w:r>
          </w:p>
          <w:p>
            <w:pPr>
              <w:keepNext w:val="0"/>
              <w:keepLines w:val="0"/>
              <w:pageBreakBefore w:val="0"/>
              <w:kinsoku/>
              <w:wordWrap/>
              <w:overflowPunct/>
              <w:topLinePunct w:val="0"/>
              <w:autoSpaceDE/>
              <w:autoSpaceDN/>
              <w:bidi w:val="0"/>
              <w:adjustRightInd/>
              <w:snapToGrid/>
              <w:spacing w:line="300" w:lineRule="exact"/>
              <w:jc w:val="left"/>
              <w:textAlignment w:val="auto"/>
              <w:rPr>
                <w:rFonts w:ascii="仿宋" w:hAnsi="仿宋" w:eastAsia="仿宋"/>
                <w:color w:val="auto"/>
                <w:sz w:val="24"/>
              </w:rPr>
            </w:pPr>
            <w:r>
              <w:rPr>
                <w:rFonts w:hint="eastAsia" w:ascii="仿宋" w:hAnsi="仿宋" w:eastAsia="仿宋"/>
                <w:color w:val="auto"/>
                <w:sz w:val="24"/>
              </w:rPr>
              <w:t xml:space="preserve">就业企业数：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2" w:hRule="exact"/>
          <w:jc w:val="center"/>
        </w:trPr>
        <w:tc>
          <w:tcPr>
            <w:tcW w:w="139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仿宋" w:hAnsi="仿宋" w:eastAsia="仿宋"/>
                <w:color w:val="auto"/>
                <w:sz w:val="28"/>
                <w:szCs w:val="28"/>
              </w:rPr>
            </w:pPr>
            <w:r>
              <w:rPr>
                <w:rFonts w:hint="eastAsia" w:ascii="仿宋" w:hAnsi="仿宋" w:eastAsia="仿宋"/>
                <w:color w:val="auto"/>
                <w:sz w:val="28"/>
                <w:szCs w:val="28"/>
              </w:rPr>
              <w:t>申报单位声明</w:t>
            </w:r>
          </w:p>
        </w:tc>
        <w:tc>
          <w:tcPr>
            <w:tcW w:w="7859" w:type="dxa"/>
            <w:gridSpan w:val="9"/>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ascii="仿宋" w:hAnsi="仿宋" w:eastAsia="仿宋" w:cs="仿宋"/>
                <w:color w:val="auto"/>
                <w:sz w:val="24"/>
                <w:szCs w:val="24"/>
              </w:rPr>
            </w:pPr>
            <w:r>
              <w:rPr>
                <w:rFonts w:hint="eastAsia" w:ascii="仿宋" w:hAnsi="仿宋" w:eastAsia="仿宋" w:cs="仿宋"/>
                <w:color w:val="auto"/>
                <w:sz w:val="24"/>
                <w:szCs w:val="24"/>
              </w:rPr>
              <w:t>我单位承诺在进出口、财务、税务、外汇、海关、知识产权等方面无违法行为发生。公司保证所提供的文件材料及所作陈述真实、可靠，如有虚假，愿承担包括退还扶持资金在内的一切责任。</w:t>
            </w:r>
          </w:p>
          <w:p>
            <w:pPr>
              <w:keepNext w:val="0"/>
              <w:keepLines w:val="0"/>
              <w:pageBreakBefore w:val="0"/>
              <w:widowControl w:val="0"/>
              <w:kinsoku/>
              <w:wordWrap/>
              <w:overflowPunct/>
              <w:topLinePunct w:val="0"/>
              <w:autoSpaceDE/>
              <w:autoSpaceDN/>
              <w:bidi w:val="0"/>
              <w:adjustRightInd/>
              <w:snapToGrid/>
              <w:spacing w:line="360" w:lineRule="exact"/>
              <w:ind w:firstLine="2400" w:firstLineChars="1000"/>
              <w:jc w:val="both"/>
              <w:textAlignment w:val="auto"/>
              <w:rPr>
                <w:rFonts w:ascii="仿宋" w:hAnsi="仿宋" w:eastAsia="仿宋" w:cs="仿宋"/>
                <w:color w:val="auto"/>
                <w:sz w:val="24"/>
                <w:szCs w:val="24"/>
              </w:rPr>
            </w:pPr>
            <w:r>
              <w:rPr>
                <w:rFonts w:hint="eastAsia" w:ascii="仿宋" w:hAnsi="仿宋" w:eastAsia="仿宋" w:cs="仿宋"/>
                <w:color w:val="auto"/>
                <w:sz w:val="24"/>
                <w:szCs w:val="24"/>
              </w:rPr>
              <w:t>法人代表：</w:t>
            </w:r>
            <w:r>
              <w:rPr>
                <w:rFonts w:hint="eastAsia" w:ascii="仿宋" w:hAnsi="仿宋" w:eastAsia="仿宋" w:cs="仿宋"/>
                <w:color w:val="auto"/>
                <w:sz w:val="21"/>
                <w:szCs w:val="16"/>
              </w:rPr>
              <w:t>（签字）</w:t>
            </w:r>
            <w:r>
              <w:rPr>
                <w:rFonts w:hint="eastAsia" w:ascii="仿宋" w:hAnsi="仿宋" w:eastAsia="仿宋" w:cs="仿宋"/>
                <w:color w:val="auto"/>
                <w:sz w:val="24"/>
                <w:szCs w:val="24"/>
              </w:rPr>
              <w:t xml:space="preserve">                         </w:t>
            </w:r>
          </w:p>
          <w:p>
            <w:pPr>
              <w:keepNext w:val="0"/>
              <w:keepLines w:val="0"/>
              <w:pageBreakBefore w:val="0"/>
              <w:widowControl w:val="0"/>
              <w:kinsoku/>
              <w:wordWrap/>
              <w:overflowPunct/>
              <w:topLinePunct w:val="0"/>
              <w:autoSpaceDE/>
              <w:autoSpaceDN/>
              <w:bidi w:val="0"/>
              <w:adjustRightInd/>
              <w:snapToGrid/>
              <w:spacing w:line="360" w:lineRule="exact"/>
              <w:ind w:firstLine="2400" w:firstLineChars="1000"/>
              <w:jc w:val="both"/>
              <w:textAlignment w:val="auto"/>
              <w:rPr>
                <w:rFonts w:ascii="仿宋" w:hAnsi="仿宋" w:eastAsia="仿宋"/>
                <w:color w:val="auto"/>
              </w:rPr>
            </w:pPr>
            <w:r>
              <w:rPr>
                <w:rFonts w:hint="eastAsia" w:ascii="仿宋" w:hAnsi="仿宋" w:eastAsia="仿宋" w:cs="仿宋"/>
                <w:color w:val="auto"/>
                <w:sz w:val="24"/>
                <w:szCs w:val="24"/>
              </w:rPr>
              <w:t xml:space="preserve">单位盖章  </w:t>
            </w:r>
            <w:r>
              <w:rPr>
                <w:rFonts w:hint="eastAsia" w:ascii="仿宋" w:hAnsi="仿宋" w:eastAsia="仿宋"/>
                <w:color w:val="auto"/>
                <w:sz w:val="24"/>
                <w:szCs w:val="24"/>
              </w:rPr>
              <w:t xml:space="preserve"> </w:t>
            </w:r>
            <w:r>
              <w:rPr>
                <w:rFonts w:hint="eastAsia" w:ascii="仿宋" w:hAnsi="仿宋" w:eastAsia="仿宋"/>
                <w:color w:val="auto"/>
                <w:sz w:val="28"/>
                <w:szCs w:val="28"/>
              </w:rPr>
              <w:t xml:space="preserve"> </w:t>
            </w:r>
            <w:r>
              <w:rPr>
                <w:rFonts w:hint="eastAsia" w:ascii="仿宋" w:hAnsi="仿宋" w:eastAsia="仿宋"/>
                <w:color w:val="auto"/>
                <w:sz w:val="30"/>
                <w:szCs w:val="30"/>
              </w:rPr>
              <w:t xml:space="preserve">    </w:t>
            </w:r>
            <w:r>
              <w:rPr>
                <w:rFonts w:hint="eastAsia" w:ascii="仿宋" w:hAnsi="仿宋" w:eastAsia="仿宋"/>
                <w:color w:val="auto"/>
                <w:sz w:val="28"/>
                <w:szCs w:val="28"/>
              </w:rPr>
              <w:t xml:space="preserve">              </w:t>
            </w:r>
          </w:p>
        </w:tc>
      </w:tr>
    </w:tbl>
    <w:p>
      <w:pPr>
        <w:keepNext w:val="0"/>
        <w:keepLines w:val="0"/>
        <w:pageBreakBefore w:val="0"/>
        <w:kinsoku/>
        <w:wordWrap/>
        <w:overflowPunct/>
        <w:topLinePunct w:val="0"/>
        <w:autoSpaceDE/>
        <w:autoSpaceDN/>
        <w:bidi w:val="0"/>
        <w:adjustRightInd/>
        <w:ind w:firstLine="0" w:firstLineChars="0"/>
        <w:textAlignment w:val="auto"/>
        <w:rPr>
          <w:rFonts w:hint="default" w:eastAsia="宋体"/>
          <w:color w:val="auto"/>
          <w:lang w:val="en-US" w:eastAsia="zh-CN"/>
        </w:rPr>
      </w:pPr>
    </w:p>
    <w:sectPr>
      <w:headerReference r:id="rId3" w:type="default"/>
      <w:footerReference r:id="rId5" w:type="default"/>
      <w:headerReference r:id="rId4" w:type="even"/>
      <w:footerReference r:id="rId6" w:type="even"/>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书宋简体">
    <w:altName w:val="宋体"/>
    <w:panose1 w:val="03000509000000000000"/>
    <w:charset w:val="86"/>
    <w:family w:val="script"/>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cs="宋体"/>
        <w:b/>
        <w:bCs/>
        <w:color w:val="005192"/>
        <w:sz w:val="28"/>
        <w:szCs w:val="44"/>
      </w:rPr>
    </w:pPr>
    <w:bookmarkStart w:id="0" w:name="_Hlk132189194"/>
    <w:r>
      <w:rPr>
        <w:rFonts w:ascii="宋体" w:hAnsi="宋体" w:cs="宋体"/>
        <w:sz w:val="28"/>
        <w:szCs w:val="28"/>
      </w:rPr>
      <w:fldChar w:fldCharType="begin"/>
    </w:r>
    <w:r>
      <w:rPr>
        <w:rFonts w:ascii="宋体" w:hAnsi="宋体" w:cs="宋体"/>
        <w:sz w:val="28"/>
        <w:szCs w:val="28"/>
      </w:rPr>
      <w:instrText xml:space="preserve">PAGE   \* MERGEFORMAT</w:instrText>
    </w:r>
    <w:r>
      <w:rPr>
        <w:rFonts w:ascii="宋体" w:hAnsi="宋体" w:cs="宋体"/>
        <w:sz w:val="28"/>
        <w:szCs w:val="28"/>
      </w:rPr>
      <w:fldChar w:fldCharType="separate"/>
    </w:r>
    <w:r>
      <w:rPr>
        <w:rFonts w:ascii="宋体" w:hAnsi="宋体" w:cs="宋体"/>
        <w:sz w:val="28"/>
        <w:szCs w:val="28"/>
      </w:rPr>
      <w:t>- 1 -</w:t>
    </w:r>
    <w:r>
      <w:rPr>
        <w:rFonts w:ascii="宋体" w:hAnsi="宋体" w:cs="宋体"/>
        <w:sz w:val="28"/>
        <w:szCs w:val="28"/>
      </w:rPr>
      <w:fldChar w:fldCharType="end"/>
    </w:r>
    <w:r>
      <w:pict>
        <v:rect id="_x0000_i1025" o:spt="1" style="height:1.75pt;width:415.3pt;" fillcolor="#0070C0" filled="t" stroked="f" coordsize="21600,21600" o:hr="t" o:hrstd="t" o:hrnoshade="t" o:hralign="center">
          <v:path/>
          <v:fill on="t" focussize="0,0"/>
          <v:stroke on="f"/>
          <v:imagedata o:title=""/>
          <o:lock v:ext="edit"/>
          <w10:wrap type="none"/>
          <w10:anchorlock/>
        </v:rect>
      </w:pict>
    </w:r>
  </w:p>
  <w:p>
    <w:pPr>
      <w:pStyle w:val="4"/>
      <w:wordWrap w:val="0"/>
      <w:jc w:val="right"/>
      <w:rPr>
        <w:rFonts w:hint="default" w:eastAsia="宋体"/>
        <w:lang w:val="en-US" w:eastAsia="zh-CN"/>
      </w:rPr>
    </w:pPr>
    <w:r>
      <w:rPr>
        <w:rFonts w:hint="eastAsia" w:ascii="宋体" w:hAnsi="宋体" w:cs="宋体"/>
        <w:b/>
        <w:bCs/>
        <w:color w:val="005192"/>
        <w:sz w:val="28"/>
        <w:szCs w:val="44"/>
      </w:rPr>
      <w:t>云南省商务厅发布</w:t>
    </w:r>
    <w:bookmarkEnd w:id="0"/>
    <w:r>
      <w:rPr>
        <w:rFonts w:hint="eastAsia" w:ascii="宋体" w:hAnsi="宋体" w:cs="宋体"/>
        <w:b/>
        <w:bCs/>
        <w:color w:val="005192"/>
        <w:sz w:val="28"/>
        <w:szCs w:val="44"/>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cs="宋体"/>
        <w:sz w:val="28"/>
        <w:szCs w:val="28"/>
      </w:rPr>
    </w:pPr>
    <w:r>
      <w:rPr>
        <w:rFonts w:ascii="宋体" w:hAnsi="宋体" w:cs="宋体"/>
        <w:sz w:val="28"/>
        <w:szCs w:val="28"/>
      </w:rPr>
      <w:fldChar w:fldCharType="begin"/>
    </w:r>
    <w:r>
      <w:rPr>
        <w:rFonts w:ascii="宋体" w:hAnsi="宋体" w:cs="宋体"/>
        <w:sz w:val="28"/>
        <w:szCs w:val="28"/>
      </w:rPr>
      <w:instrText xml:space="preserve">PAGE   \* MERGEFORMAT</w:instrText>
    </w:r>
    <w:r>
      <w:rPr>
        <w:rFonts w:ascii="宋体" w:hAnsi="宋体" w:cs="宋体"/>
        <w:sz w:val="28"/>
        <w:szCs w:val="28"/>
      </w:rPr>
      <w:fldChar w:fldCharType="separate"/>
    </w:r>
    <w:r>
      <w:rPr>
        <w:rFonts w:ascii="宋体" w:hAnsi="宋体" w:cs="宋体"/>
        <w:sz w:val="28"/>
        <w:szCs w:val="28"/>
      </w:rPr>
      <w:t>- 8 -</w:t>
    </w:r>
    <w:r>
      <w:rPr>
        <w:rFonts w:ascii="宋体" w:hAnsi="宋体" w:cs="宋体"/>
        <w:sz w:val="28"/>
        <w:szCs w:val="28"/>
      </w:rPr>
      <w:fldChar w:fldCharType="end"/>
    </w:r>
  </w:p>
  <w:p>
    <w:pPr>
      <w:pStyle w:val="4"/>
      <w:jc w:val="right"/>
      <w:rPr>
        <w:rFonts w:ascii="宋体" w:hAnsi="宋体" w:cs="宋体"/>
        <w:b/>
        <w:bCs/>
        <w:color w:val="005192"/>
        <w:sz w:val="28"/>
        <w:szCs w:val="44"/>
      </w:rPr>
    </w:pPr>
    <w:r>
      <w:pict>
        <v:rect id="_x0000_i1026" o:spt="1" style="height:1.75pt;width:415.3pt;" fillcolor="#4472C4" filled="t" stroked="f" coordsize="21600,21600" o:hr="t" o:hrstd="t" o:hrnoshade="t" o:hralign="center">
          <v:path/>
          <v:fill on="t" focussize="0,0"/>
          <v:stroke on="f"/>
          <v:imagedata o:title=""/>
          <o:lock v:ext="edit"/>
          <w10:wrap type="none"/>
          <w10:anchorlock/>
        </v:rect>
      </w:pict>
    </w:r>
  </w:p>
  <w:p>
    <w:pPr>
      <w:pStyle w:val="4"/>
      <w:wordWrap w:val="0"/>
      <w:jc w:val="right"/>
      <w:rPr>
        <w:rFonts w:hint="default" w:eastAsia="宋体"/>
        <w:lang w:val="en-US" w:eastAsia="zh-CN"/>
      </w:rPr>
    </w:pPr>
    <w:r>
      <w:rPr>
        <w:rFonts w:hint="eastAsia" w:ascii="宋体" w:hAnsi="宋体" w:cs="宋体"/>
        <w:b/>
        <w:bCs/>
        <w:color w:val="005192"/>
        <w:sz w:val="28"/>
        <w:szCs w:val="44"/>
      </w:rPr>
      <w:t>云南省商务厅发布</w:t>
    </w:r>
    <w:r>
      <w:rPr>
        <w:rFonts w:hint="eastAsia" w:ascii="宋体" w:hAnsi="宋体" w:cs="宋体"/>
        <w:b/>
        <w:bCs/>
        <w:color w:val="005192"/>
        <w:sz w:val="28"/>
        <w:szCs w:val="44"/>
        <w:lang w:val="en-US"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6"/>
      </w:pBdr>
      <w:textAlignment w:val="center"/>
      <w:rPr>
        <w:rFonts w:hint="eastAsia" w:ascii="宋体" w:hAnsi="宋体" w:cs="宋体"/>
        <w:b/>
        <w:bCs/>
        <w:color w:val="005192"/>
        <w:sz w:val="32"/>
        <w:szCs w:val="32"/>
      </w:rPr>
    </w:pPr>
    <w:r>
      <mc:AlternateContent>
        <mc:Choice Requires="wps">
          <w:drawing>
            <wp:anchor distT="0" distB="0" distL="114300" distR="114300" simplePos="0" relativeHeight="251659264" behindDoc="0" locked="0" layoutInCell="1" allowOverlap="1">
              <wp:simplePos x="0" y="0"/>
              <wp:positionH relativeFrom="column">
                <wp:posOffset>20955</wp:posOffset>
              </wp:positionH>
              <wp:positionV relativeFrom="paragraph">
                <wp:posOffset>365125</wp:posOffset>
              </wp:positionV>
              <wp:extent cx="5366385" cy="0"/>
              <wp:effectExtent l="0" t="0" r="0" b="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1.65pt;margin-top:28.75pt;height:0pt;width:422.55pt;z-index:251659264;mso-width-relative:page;mso-height-relative:page;" filled="f" stroked="t" coordsize="21600,21600" o:gfxdata="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Yj17pdMAAAAHAQAADwAAAAAAAAABACAAAAAiAAAAZHJzL2Rvd25yZXYueG1sUEsBAhQA&#10;FAAAAAgAh07iQKUiy7P3AQAAywMAAA4AAAAAAAAAAQAgAAAAIgEAAGRycy9lMm9Eb2MueG1sUEsF&#10;BgAAAAAGAAYAWQEAAIsFAAAAAA==&#10;">
              <v:fill on="f" focussize="0,0"/>
              <v:stroke weight="1.75pt" color="#005192" miterlimit="8" joinstyle="miter"/>
              <v:imagedata o:title=""/>
              <o:lock v:ext="edit" aspectratio="f"/>
            </v:line>
          </w:pict>
        </mc:Fallback>
      </mc:AlternateContent>
    </w:r>
    <w:r>
      <w:rPr>
        <w:rFonts w:ascii="宋体" w:hAnsi="宋体" w:cs="宋体"/>
        <w:b/>
        <w:color w:val="005192"/>
        <w:sz w:val="32"/>
      </w:rPr>
      <w:drawing>
        <wp:inline distT="0" distB="0" distL="114300" distR="114300">
          <wp:extent cx="300355" cy="273685"/>
          <wp:effectExtent l="0" t="0" r="4445" b="635"/>
          <wp:docPr id="3" name="图片 4" descr="C:/Users/ASUS/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C:/Users/ASUS/Desktop/图片1.png图片1"/>
                  <pic:cNvPicPr>
                    <a:picLocks noChangeAspect="1"/>
                  </pic:cNvPicPr>
                </pic:nvPicPr>
                <pic:blipFill>
                  <a:blip r:embed="rId1"/>
                  <a:srcRect t="4440" b="4440"/>
                  <a:stretch>
                    <a:fillRect/>
                  </a:stretch>
                </pic:blipFill>
                <pic:spPr>
                  <a:xfrm>
                    <a:off x="0" y="0"/>
                    <a:ext cx="300355" cy="273685"/>
                  </a:xfrm>
                  <a:prstGeom prst="rect">
                    <a:avLst/>
                  </a:prstGeom>
                  <a:noFill/>
                  <a:ln>
                    <a:noFill/>
                  </a:ln>
                </pic:spPr>
              </pic:pic>
            </a:graphicData>
          </a:graphic>
        </wp:inline>
      </w:drawing>
    </w:r>
    <w:r>
      <w:rPr>
        <w:rFonts w:hint="eastAsia" w:ascii="宋体" w:hAnsi="宋体" w:cs="宋体"/>
        <w:b/>
        <w:bCs/>
        <w:color w:val="005192"/>
        <w:sz w:val="32"/>
        <w:szCs w:val="32"/>
      </w:rPr>
      <w:t>云南省商务厅</w:t>
    </w:r>
    <w:r>
      <w:rPr>
        <w:rFonts w:hint="eastAsia" w:ascii="宋体" w:hAnsi="宋体" w:cs="宋体"/>
        <w:b/>
        <w:bCs/>
        <w:color w:val="005192"/>
        <w:sz w:val="32"/>
        <w:szCs w:val="32"/>
        <w:lang w:val="en-US" w:eastAsia="zh-CN"/>
      </w:rPr>
      <w:t>行政</w:t>
    </w:r>
    <w:r>
      <w:rPr>
        <w:rFonts w:hint="eastAsia" w:ascii="宋体" w:hAnsi="宋体" w:cs="宋体"/>
        <w:b/>
        <w:bCs/>
        <w:color w:val="005192"/>
        <w:sz w:val="32"/>
        <w:szCs w:val="32"/>
      </w:rPr>
      <w:t>规范性文件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6"/>
      </w:pBdr>
      <w:textAlignment w:val="center"/>
      <w:rPr>
        <w:rFonts w:hint="eastAsia" w:ascii="宋体" w:hAnsi="宋体" w:cs="宋体"/>
        <w:b/>
        <w:bCs/>
        <w:color w:val="005192"/>
        <w:sz w:val="32"/>
        <w:szCs w:val="32"/>
      </w:rPr>
    </w:pPr>
    <w:r>
      <w:rPr>
        <w:rFonts w:ascii="宋体" w:hAnsi="宋体" w:cs="宋体"/>
        <w:b/>
        <w:color w:val="005192"/>
        <w:sz w:val="32"/>
      </w:rPr>
      <mc:AlternateContent>
        <mc:Choice Requires="wps">
          <w:drawing>
            <wp:anchor distT="0" distB="0" distL="114300" distR="114300" simplePos="0" relativeHeight="251660288" behindDoc="0" locked="0" layoutInCell="1" allowOverlap="1">
              <wp:simplePos x="0" y="0"/>
              <wp:positionH relativeFrom="column">
                <wp:posOffset>27305</wp:posOffset>
              </wp:positionH>
              <wp:positionV relativeFrom="paragraph">
                <wp:posOffset>365125</wp:posOffset>
              </wp:positionV>
              <wp:extent cx="5620385" cy="0"/>
              <wp:effectExtent l="0" t="0" r="0" b="0"/>
              <wp:wrapNone/>
              <wp:docPr id="1"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直接连接符 4" o:spid="_x0000_s1026" o:spt="20" style="position:absolute;left:0pt;margin-left:2.15pt;margin-top:28.75pt;height:0pt;width:442.55pt;z-index:251660288;mso-width-relative:page;mso-height-relative:page;" filled="f" stroked="t" coordsize="21600,21600" o:gfxdata="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qyfIHUAAAABwEAAA8AAAAAAAAAAQAgAAAAIgAAAGRycy9kb3ducmV2LnhtbFBLAQIU&#10;ABQAAAAIAIdO4kAjZhfa9wEAAMsDAAAOAAAAAAAAAAEAIAAAACMBAABkcnMvZTJvRG9jLnhtbFBL&#10;BQYAAAAABgAGAFkBAACMBQAAAAA=&#10;">
              <v:fill on="f" focussize="0,0"/>
              <v:stroke weight="1.75pt" color="#005192" miterlimit="8" joinstyle="miter"/>
              <v:imagedata o:title=""/>
              <o:lock v:ext="edit" aspectratio="f"/>
            </v:line>
          </w:pict>
        </mc:Fallback>
      </mc:AlternateContent>
    </w:r>
    <w:r>
      <w:rPr>
        <w:rFonts w:ascii="宋体" w:hAnsi="宋体" w:cs="宋体"/>
        <w:b/>
        <w:color w:val="005192"/>
        <w:sz w:val="32"/>
      </w:rPr>
      <w:drawing>
        <wp:inline distT="0" distB="0" distL="114300" distR="114300">
          <wp:extent cx="273685" cy="273685"/>
          <wp:effectExtent l="0" t="0" r="635" b="635"/>
          <wp:docPr id="2" name="图片 1" descr="C:/Users/ASUS/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Users/ASUS/Desktop/图片1.png图片1"/>
                  <pic:cNvPicPr>
                    <a:picLocks noChangeAspect="1"/>
                  </pic:cNvPicPr>
                </pic:nvPicPr>
                <pic:blipFill>
                  <a:blip r:embed="rId1"/>
                  <a:srcRect t="4440" b="4440"/>
                  <a:stretch>
                    <a:fillRect/>
                  </a:stretch>
                </pic:blipFill>
                <pic:spPr>
                  <a:xfrm>
                    <a:off x="0" y="0"/>
                    <a:ext cx="273685" cy="273685"/>
                  </a:xfrm>
                  <a:prstGeom prst="rect">
                    <a:avLst/>
                  </a:prstGeom>
                  <a:noFill/>
                  <a:ln>
                    <a:noFill/>
                  </a:ln>
                </pic:spPr>
              </pic:pic>
            </a:graphicData>
          </a:graphic>
        </wp:inline>
      </w:drawing>
    </w:r>
    <w:r>
      <w:rPr>
        <w:rFonts w:hint="eastAsia" w:ascii="宋体" w:hAnsi="宋体" w:cs="宋体"/>
        <w:b/>
        <w:bCs/>
        <w:color w:val="005192"/>
        <w:sz w:val="32"/>
        <w:szCs w:val="32"/>
      </w:rPr>
      <w:t>云南省商务厅</w:t>
    </w:r>
    <w:r>
      <w:rPr>
        <w:rFonts w:hint="eastAsia" w:ascii="宋体" w:hAnsi="宋体" w:cs="宋体"/>
        <w:b/>
        <w:bCs/>
        <w:color w:val="005192"/>
        <w:sz w:val="32"/>
        <w:szCs w:val="32"/>
        <w:lang w:val="en-US" w:eastAsia="zh-CN"/>
      </w:rPr>
      <w:t>行政</w:t>
    </w:r>
    <w:r>
      <w:rPr>
        <w:rFonts w:hint="eastAsia" w:ascii="宋体" w:hAnsi="宋体" w:cs="宋体"/>
        <w:b/>
        <w:bCs/>
        <w:color w:val="005192"/>
        <w:sz w:val="32"/>
        <w:szCs w:val="32"/>
      </w:rPr>
      <w:t>规范性文件</w:t>
    </w:r>
  </w:p>
  <w:p>
    <w:pPr>
      <w:pStyle w:val="5"/>
      <w:pBdr>
        <w:bottom w:val="none" w:color="auto" w:sz="0" w:space="0"/>
      </w:pBdr>
      <w:textAlignment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RiN2EzOTIwNTFkMWRjYjlhM2M2MjEwMTAzOTAyMTAifQ=="/>
  </w:docVars>
  <w:rsids>
    <w:rsidRoot w:val="00172A27"/>
    <w:rsid w:val="00011BCC"/>
    <w:rsid w:val="00016B68"/>
    <w:rsid w:val="0002201F"/>
    <w:rsid w:val="00022EB2"/>
    <w:rsid w:val="00035EBC"/>
    <w:rsid w:val="0004299A"/>
    <w:rsid w:val="000716AD"/>
    <w:rsid w:val="00074D18"/>
    <w:rsid w:val="00075573"/>
    <w:rsid w:val="000855A4"/>
    <w:rsid w:val="0009379E"/>
    <w:rsid w:val="000964C1"/>
    <w:rsid w:val="000968C5"/>
    <w:rsid w:val="000A39F4"/>
    <w:rsid w:val="000D5453"/>
    <w:rsid w:val="000E4EF7"/>
    <w:rsid w:val="00101B83"/>
    <w:rsid w:val="00117616"/>
    <w:rsid w:val="001239F8"/>
    <w:rsid w:val="00150437"/>
    <w:rsid w:val="00152AC8"/>
    <w:rsid w:val="0015613D"/>
    <w:rsid w:val="00156333"/>
    <w:rsid w:val="00166F79"/>
    <w:rsid w:val="00177C50"/>
    <w:rsid w:val="001808F2"/>
    <w:rsid w:val="001906F5"/>
    <w:rsid w:val="00193BB7"/>
    <w:rsid w:val="00196DC1"/>
    <w:rsid w:val="001A122E"/>
    <w:rsid w:val="001A4590"/>
    <w:rsid w:val="001A5093"/>
    <w:rsid w:val="001C0004"/>
    <w:rsid w:val="001D5949"/>
    <w:rsid w:val="001F2C52"/>
    <w:rsid w:val="001F5E78"/>
    <w:rsid w:val="001F753F"/>
    <w:rsid w:val="00200ACF"/>
    <w:rsid w:val="00207642"/>
    <w:rsid w:val="00221F5F"/>
    <w:rsid w:val="002229FF"/>
    <w:rsid w:val="00245A3F"/>
    <w:rsid w:val="00247103"/>
    <w:rsid w:val="00262B45"/>
    <w:rsid w:val="00270AFF"/>
    <w:rsid w:val="00271D33"/>
    <w:rsid w:val="002725EA"/>
    <w:rsid w:val="00276F3F"/>
    <w:rsid w:val="00290C1D"/>
    <w:rsid w:val="002922B1"/>
    <w:rsid w:val="0029400D"/>
    <w:rsid w:val="002967A7"/>
    <w:rsid w:val="002A7F98"/>
    <w:rsid w:val="002B08CC"/>
    <w:rsid w:val="002C6027"/>
    <w:rsid w:val="002F004F"/>
    <w:rsid w:val="00315AAC"/>
    <w:rsid w:val="00316898"/>
    <w:rsid w:val="003223FB"/>
    <w:rsid w:val="00326D14"/>
    <w:rsid w:val="00327D46"/>
    <w:rsid w:val="00331A1A"/>
    <w:rsid w:val="003511CF"/>
    <w:rsid w:val="00354C97"/>
    <w:rsid w:val="00356662"/>
    <w:rsid w:val="00377EB5"/>
    <w:rsid w:val="00384A78"/>
    <w:rsid w:val="00390DFA"/>
    <w:rsid w:val="0039185E"/>
    <w:rsid w:val="003A70CB"/>
    <w:rsid w:val="003B3A78"/>
    <w:rsid w:val="003B4EFA"/>
    <w:rsid w:val="003B58CB"/>
    <w:rsid w:val="003B7AD8"/>
    <w:rsid w:val="003C775B"/>
    <w:rsid w:val="003D16FE"/>
    <w:rsid w:val="003D2AD9"/>
    <w:rsid w:val="003D39A8"/>
    <w:rsid w:val="003D7262"/>
    <w:rsid w:val="003E04C6"/>
    <w:rsid w:val="004027DE"/>
    <w:rsid w:val="004066E2"/>
    <w:rsid w:val="004149E4"/>
    <w:rsid w:val="0041542F"/>
    <w:rsid w:val="00415823"/>
    <w:rsid w:val="00434878"/>
    <w:rsid w:val="0044348A"/>
    <w:rsid w:val="00450C18"/>
    <w:rsid w:val="00452FCF"/>
    <w:rsid w:val="00467B73"/>
    <w:rsid w:val="00470527"/>
    <w:rsid w:val="0048201D"/>
    <w:rsid w:val="00483EF6"/>
    <w:rsid w:val="00485805"/>
    <w:rsid w:val="004932F5"/>
    <w:rsid w:val="00494824"/>
    <w:rsid w:val="0049784F"/>
    <w:rsid w:val="004A7EF4"/>
    <w:rsid w:val="004C3046"/>
    <w:rsid w:val="004C4D88"/>
    <w:rsid w:val="004D484D"/>
    <w:rsid w:val="004D6285"/>
    <w:rsid w:val="004E1173"/>
    <w:rsid w:val="004E308B"/>
    <w:rsid w:val="004E59B8"/>
    <w:rsid w:val="004E7BD2"/>
    <w:rsid w:val="004F7495"/>
    <w:rsid w:val="00502AF3"/>
    <w:rsid w:val="0050602C"/>
    <w:rsid w:val="00525C4B"/>
    <w:rsid w:val="0053233D"/>
    <w:rsid w:val="00544AC3"/>
    <w:rsid w:val="005529D2"/>
    <w:rsid w:val="00555C0D"/>
    <w:rsid w:val="00556CB9"/>
    <w:rsid w:val="00557F1E"/>
    <w:rsid w:val="00560079"/>
    <w:rsid w:val="00561150"/>
    <w:rsid w:val="00570E19"/>
    <w:rsid w:val="00570F24"/>
    <w:rsid w:val="00571E9B"/>
    <w:rsid w:val="00572B97"/>
    <w:rsid w:val="00573AD5"/>
    <w:rsid w:val="005759BD"/>
    <w:rsid w:val="0058199C"/>
    <w:rsid w:val="00587477"/>
    <w:rsid w:val="00592A81"/>
    <w:rsid w:val="005960B4"/>
    <w:rsid w:val="005A5B86"/>
    <w:rsid w:val="005A71FA"/>
    <w:rsid w:val="005B1079"/>
    <w:rsid w:val="005B48EF"/>
    <w:rsid w:val="005C4036"/>
    <w:rsid w:val="005D088B"/>
    <w:rsid w:val="005D2B2D"/>
    <w:rsid w:val="005D7380"/>
    <w:rsid w:val="005E4E1B"/>
    <w:rsid w:val="005F752F"/>
    <w:rsid w:val="0061626E"/>
    <w:rsid w:val="006207D2"/>
    <w:rsid w:val="006306CE"/>
    <w:rsid w:val="006321E5"/>
    <w:rsid w:val="0063549A"/>
    <w:rsid w:val="0063622B"/>
    <w:rsid w:val="00637761"/>
    <w:rsid w:val="006601FE"/>
    <w:rsid w:val="00662009"/>
    <w:rsid w:val="00665AB0"/>
    <w:rsid w:val="006809B7"/>
    <w:rsid w:val="00682553"/>
    <w:rsid w:val="00687DFE"/>
    <w:rsid w:val="006968A0"/>
    <w:rsid w:val="006C1EDD"/>
    <w:rsid w:val="006C6833"/>
    <w:rsid w:val="006C7473"/>
    <w:rsid w:val="006C79EC"/>
    <w:rsid w:val="006E0C2E"/>
    <w:rsid w:val="006E5F52"/>
    <w:rsid w:val="00712197"/>
    <w:rsid w:val="007127D2"/>
    <w:rsid w:val="00721DDD"/>
    <w:rsid w:val="00731A5D"/>
    <w:rsid w:val="0076667B"/>
    <w:rsid w:val="00766EDE"/>
    <w:rsid w:val="007700F2"/>
    <w:rsid w:val="00775739"/>
    <w:rsid w:val="007770DD"/>
    <w:rsid w:val="00782390"/>
    <w:rsid w:val="007872C1"/>
    <w:rsid w:val="007917E3"/>
    <w:rsid w:val="007A17DD"/>
    <w:rsid w:val="007B79F2"/>
    <w:rsid w:val="007C7CB6"/>
    <w:rsid w:val="007D18BB"/>
    <w:rsid w:val="007D3797"/>
    <w:rsid w:val="007F38CE"/>
    <w:rsid w:val="007F52C0"/>
    <w:rsid w:val="007F7EC8"/>
    <w:rsid w:val="00811C28"/>
    <w:rsid w:val="00815857"/>
    <w:rsid w:val="00816912"/>
    <w:rsid w:val="00817FB9"/>
    <w:rsid w:val="00830A2B"/>
    <w:rsid w:val="00835E5B"/>
    <w:rsid w:val="008361B5"/>
    <w:rsid w:val="00854B1A"/>
    <w:rsid w:val="00857151"/>
    <w:rsid w:val="00866480"/>
    <w:rsid w:val="00871A9A"/>
    <w:rsid w:val="00874823"/>
    <w:rsid w:val="00884CE0"/>
    <w:rsid w:val="00885B6A"/>
    <w:rsid w:val="00892A18"/>
    <w:rsid w:val="00892CCE"/>
    <w:rsid w:val="00892DFD"/>
    <w:rsid w:val="008979FF"/>
    <w:rsid w:val="008A0D7A"/>
    <w:rsid w:val="008A5B5D"/>
    <w:rsid w:val="008A67BF"/>
    <w:rsid w:val="008A7B86"/>
    <w:rsid w:val="008C26F5"/>
    <w:rsid w:val="008C571D"/>
    <w:rsid w:val="008D1724"/>
    <w:rsid w:val="008D1F21"/>
    <w:rsid w:val="008D4C39"/>
    <w:rsid w:val="008E3EDC"/>
    <w:rsid w:val="008F5DEC"/>
    <w:rsid w:val="009136FD"/>
    <w:rsid w:val="00922577"/>
    <w:rsid w:val="00925459"/>
    <w:rsid w:val="00931300"/>
    <w:rsid w:val="009346A0"/>
    <w:rsid w:val="0096025B"/>
    <w:rsid w:val="009676F2"/>
    <w:rsid w:val="00973E83"/>
    <w:rsid w:val="0097406D"/>
    <w:rsid w:val="00976888"/>
    <w:rsid w:val="009A1706"/>
    <w:rsid w:val="009A2F61"/>
    <w:rsid w:val="009A4FE1"/>
    <w:rsid w:val="009A5031"/>
    <w:rsid w:val="009A7A61"/>
    <w:rsid w:val="009C00F7"/>
    <w:rsid w:val="009C6F7F"/>
    <w:rsid w:val="009D0F46"/>
    <w:rsid w:val="009D4EBB"/>
    <w:rsid w:val="009E5F5B"/>
    <w:rsid w:val="009E7084"/>
    <w:rsid w:val="00A074B2"/>
    <w:rsid w:val="00A13013"/>
    <w:rsid w:val="00A13F57"/>
    <w:rsid w:val="00A14EB7"/>
    <w:rsid w:val="00A277BE"/>
    <w:rsid w:val="00A3124D"/>
    <w:rsid w:val="00A35DDD"/>
    <w:rsid w:val="00A417AF"/>
    <w:rsid w:val="00A41B6D"/>
    <w:rsid w:val="00A44A90"/>
    <w:rsid w:val="00A606EE"/>
    <w:rsid w:val="00A63CD2"/>
    <w:rsid w:val="00AB663F"/>
    <w:rsid w:val="00AE0FC3"/>
    <w:rsid w:val="00AE1015"/>
    <w:rsid w:val="00AE6687"/>
    <w:rsid w:val="00AF703F"/>
    <w:rsid w:val="00B00456"/>
    <w:rsid w:val="00B02D7B"/>
    <w:rsid w:val="00B05FD4"/>
    <w:rsid w:val="00B1107D"/>
    <w:rsid w:val="00B11873"/>
    <w:rsid w:val="00B14888"/>
    <w:rsid w:val="00B14D11"/>
    <w:rsid w:val="00B2721A"/>
    <w:rsid w:val="00B3278F"/>
    <w:rsid w:val="00B37098"/>
    <w:rsid w:val="00B51EDA"/>
    <w:rsid w:val="00B72A26"/>
    <w:rsid w:val="00B8532F"/>
    <w:rsid w:val="00B87C7E"/>
    <w:rsid w:val="00B95039"/>
    <w:rsid w:val="00BA108C"/>
    <w:rsid w:val="00BB5C62"/>
    <w:rsid w:val="00BC2548"/>
    <w:rsid w:val="00BC321D"/>
    <w:rsid w:val="00BD3EA8"/>
    <w:rsid w:val="00BE5C2F"/>
    <w:rsid w:val="00BF11E2"/>
    <w:rsid w:val="00BF4617"/>
    <w:rsid w:val="00C018BA"/>
    <w:rsid w:val="00C22CA8"/>
    <w:rsid w:val="00C32C03"/>
    <w:rsid w:val="00C400C8"/>
    <w:rsid w:val="00C423DE"/>
    <w:rsid w:val="00C44C37"/>
    <w:rsid w:val="00C55F78"/>
    <w:rsid w:val="00C5648A"/>
    <w:rsid w:val="00C7119B"/>
    <w:rsid w:val="00C807D0"/>
    <w:rsid w:val="00C82587"/>
    <w:rsid w:val="00CA0AEF"/>
    <w:rsid w:val="00CA56BA"/>
    <w:rsid w:val="00CA643B"/>
    <w:rsid w:val="00CC24A5"/>
    <w:rsid w:val="00CC2685"/>
    <w:rsid w:val="00CC3855"/>
    <w:rsid w:val="00CD0A57"/>
    <w:rsid w:val="00CE67AA"/>
    <w:rsid w:val="00D0127E"/>
    <w:rsid w:val="00D02338"/>
    <w:rsid w:val="00D073D6"/>
    <w:rsid w:val="00D2097A"/>
    <w:rsid w:val="00D26D41"/>
    <w:rsid w:val="00D340D1"/>
    <w:rsid w:val="00D4338F"/>
    <w:rsid w:val="00D43D7A"/>
    <w:rsid w:val="00D50572"/>
    <w:rsid w:val="00D5326A"/>
    <w:rsid w:val="00D57346"/>
    <w:rsid w:val="00D64DFD"/>
    <w:rsid w:val="00D67D8D"/>
    <w:rsid w:val="00D725F9"/>
    <w:rsid w:val="00D858F8"/>
    <w:rsid w:val="00D90006"/>
    <w:rsid w:val="00DA61BD"/>
    <w:rsid w:val="00DB0465"/>
    <w:rsid w:val="00DB2DC7"/>
    <w:rsid w:val="00DB52F7"/>
    <w:rsid w:val="00DC5E76"/>
    <w:rsid w:val="00DE1504"/>
    <w:rsid w:val="00DF5563"/>
    <w:rsid w:val="00E00F87"/>
    <w:rsid w:val="00E02CF1"/>
    <w:rsid w:val="00E07ED3"/>
    <w:rsid w:val="00E1342D"/>
    <w:rsid w:val="00E17E61"/>
    <w:rsid w:val="00E33EE5"/>
    <w:rsid w:val="00E35F8F"/>
    <w:rsid w:val="00E4163A"/>
    <w:rsid w:val="00E508EE"/>
    <w:rsid w:val="00E541FA"/>
    <w:rsid w:val="00E56276"/>
    <w:rsid w:val="00E640FA"/>
    <w:rsid w:val="00E82FE6"/>
    <w:rsid w:val="00E877A9"/>
    <w:rsid w:val="00E91776"/>
    <w:rsid w:val="00E92CFA"/>
    <w:rsid w:val="00EA08D0"/>
    <w:rsid w:val="00EA1412"/>
    <w:rsid w:val="00EA26BC"/>
    <w:rsid w:val="00EB4F4C"/>
    <w:rsid w:val="00EC1D5F"/>
    <w:rsid w:val="00EC38C9"/>
    <w:rsid w:val="00EE3696"/>
    <w:rsid w:val="00EE4E4C"/>
    <w:rsid w:val="00EE5BFD"/>
    <w:rsid w:val="00EF6418"/>
    <w:rsid w:val="00F010DD"/>
    <w:rsid w:val="00F06662"/>
    <w:rsid w:val="00F12215"/>
    <w:rsid w:val="00F15CF2"/>
    <w:rsid w:val="00F16FFF"/>
    <w:rsid w:val="00F33E55"/>
    <w:rsid w:val="00F35177"/>
    <w:rsid w:val="00F54AE6"/>
    <w:rsid w:val="00F6218D"/>
    <w:rsid w:val="00F64C40"/>
    <w:rsid w:val="00F6607C"/>
    <w:rsid w:val="00F67C1F"/>
    <w:rsid w:val="00F72FA3"/>
    <w:rsid w:val="00F77B9D"/>
    <w:rsid w:val="00F77D2A"/>
    <w:rsid w:val="00F82DD3"/>
    <w:rsid w:val="00F93B9D"/>
    <w:rsid w:val="00FB1607"/>
    <w:rsid w:val="00FC27BB"/>
    <w:rsid w:val="00FC2C80"/>
    <w:rsid w:val="00FC4B72"/>
    <w:rsid w:val="01D23B25"/>
    <w:rsid w:val="023C2314"/>
    <w:rsid w:val="036D4358"/>
    <w:rsid w:val="038631D7"/>
    <w:rsid w:val="03EB50FA"/>
    <w:rsid w:val="05197D6A"/>
    <w:rsid w:val="05513747"/>
    <w:rsid w:val="0568168F"/>
    <w:rsid w:val="060606B7"/>
    <w:rsid w:val="065345EF"/>
    <w:rsid w:val="066941A3"/>
    <w:rsid w:val="07F7141C"/>
    <w:rsid w:val="086A71DD"/>
    <w:rsid w:val="08B73A59"/>
    <w:rsid w:val="09712E53"/>
    <w:rsid w:val="098052C2"/>
    <w:rsid w:val="0D834936"/>
    <w:rsid w:val="0DD71E42"/>
    <w:rsid w:val="0ED34A3C"/>
    <w:rsid w:val="0F966920"/>
    <w:rsid w:val="0FDF4796"/>
    <w:rsid w:val="0FF17F33"/>
    <w:rsid w:val="106332FD"/>
    <w:rsid w:val="117748B7"/>
    <w:rsid w:val="11CA68BF"/>
    <w:rsid w:val="12FF68E4"/>
    <w:rsid w:val="130B4CCD"/>
    <w:rsid w:val="14FB4178"/>
    <w:rsid w:val="154D2A40"/>
    <w:rsid w:val="155A77A4"/>
    <w:rsid w:val="15A70F88"/>
    <w:rsid w:val="16492F7D"/>
    <w:rsid w:val="19290EEB"/>
    <w:rsid w:val="192F7045"/>
    <w:rsid w:val="197B1F18"/>
    <w:rsid w:val="199A1603"/>
    <w:rsid w:val="1A3C355B"/>
    <w:rsid w:val="1B395E1A"/>
    <w:rsid w:val="1BD937BC"/>
    <w:rsid w:val="1C3E47E5"/>
    <w:rsid w:val="1C822313"/>
    <w:rsid w:val="1D3E4D19"/>
    <w:rsid w:val="1DA453B1"/>
    <w:rsid w:val="1F5F5687"/>
    <w:rsid w:val="1FAC20EC"/>
    <w:rsid w:val="21525C17"/>
    <w:rsid w:val="21602562"/>
    <w:rsid w:val="21895FC4"/>
    <w:rsid w:val="22197CD5"/>
    <w:rsid w:val="225D0611"/>
    <w:rsid w:val="22981651"/>
    <w:rsid w:val="22C56FC3"/>
    <w:rsid w:val="23032D96"/>
    <w:rsid w:val="235A5D88"/>
    <w:rsid w:val="26AF3D05"/>
    <w:rsid w:val="26EB4360"/>
    <w:rsid w:val="277D5657"/>
    <w:rsid w:val="29035BF9"/>
    <w:rsid w:val="29334D29"/>
    <w:rsid w:val="29510367"/>
    <w:rsid w:val="2ACC37C5"/>
    <w:rsid w:val="2B555CA8"/>
    <w:rsid w:val="2C5A0FA4"/>
    <w:rsid w:val="2D40662A"/>
    <w:rsid w:val="2D9A6769"/>
    <w:rsid w:val="2DD072B5"/>
    <w:rsid w:val="2DEF1A60"/>
    <w:rsid w:val="2DFE2383"/>
    <w:rsid w:val="2E9637FB"/>
    <w:rsid w:val="2F2F1003"/>
    <w:rsid w:val="32134DB6"/>
    <w:rsid w:val="32331A68"/>
    <w:rsid w:val="32A27B1D"/>
    <w:rsid w:val="33C71E7E"/>
    <w:rsid w:val="33E32953"/>
    <w:rsid w:val="35586D92"/>
    <w:rsid w:val="35764143"/>
    <w:rsid w:val="360649D8"/>
    <w:rsid w:val="3622425C"/>
    <w:rsid w:val="38C30142"/>
    <w:rsid w:val="392D67DD"/>
    <w:rsid w:val="3AB42A96"/>
    <w:rsid w:val="3BA548E8"/>
    <w:rsid w:val="3BD479B6"/>
    <w:rsid w:val="3BF63C9F"/>
    <w:rsid w:val="3BF783A6"/>
    <w:rsid w:val="3D595233"/>
    <w:rsid w:val="3DBE4F57"/>
    <w:rsid w:val="3DFC42F9"/>
    <w:rsid w:val="3E0A100D"/>
    <w:rsid w:val="3E4E4F76"/>
    <w:rsid w:val="3E6B4177"/>
    <w:rsid w:val="3F1E659C"/>
    <w:rsid w:val="3F73EABE"/>
    <w:rsid w:val="3FEA473B"/>
    <w:rsid w:val="3FF7607F"/>
    <w:rsid w:val="40670739"/>
    <w:rsid w:val="4120224D"/>
    <w:rsid w:val="41DA24FE"/>
    <w:rsid w:val="42D25330"/>
    <w:rsid w:val="43661FA0"/>
    <w:rsid w:val="438D7C61"/>
    <w:rsid w:val="43996E55"/>
    <w:rsid w:val="440F4D37"/>
    <w:rsid w:val="46A72758"/>
    <w:rsid w:val="47C53B4E"/>
    <w:rsid w:val="48D55F0A"/>
    <w:rsid w:val="4AD52453"/>
    <w:rsid w:val="4B346797"/>
    <w:rsid w:val="4B3658F6"/>
    <w:rsid w:val="4C656166"/>
    <w:rsid w:val="4E174303"/>
    <w:rsid w:val="4E6D0ABA"/>
    <w:rsid w:val="4EAC6D0A"/>
    <w:rsid w:val="4F321FE5"/>
    <w:rsid w:val="4F7D08F7"/>
    <w:rsid w:val="4FCFE978"/>
    <w:rsid w:val="50D062C6"/>
    <w:rsid w:val="50EF2D57"/>
    <w:rsid w:val="50FF2FF1"/>
    <w:rsid w:val="52603EB2"/>
    <w:rsid w:val="529D0A10"/>
    <w:rsid w:val="54C573CE"/>
    <w:rsid w:val="54D56AED"/>
    <w:rsid w:val="56773A9F"/>
    <w:rsid w:val="57447EB8"/>
    <w:rsid w:val="57F71260"/>
    <w:rsid w:val="58381A4A"/>
    <w:rsid w:val="59EE5898"/>
    <w:rsid w:val="5A2537F3"/>
    <w:rsid w:val="5AD2138E"/>
    <w:rsid w:val="5B0A2B6C"/>
    <w:rsid w:val="5B28211D"/>
    <w:rsid w:val="5BAF7A77"/>
    <w:rsid w:val="5BFA4673"/>
    <w:rsid w:val="5CF109B3"/>
    <w:rsid w:val="5DAF3EC5"/>
    <w:rsid w:val="5E7B780C"/>
    <w:rsid w:val="5E9773B6"/>
    <w:rsid w:val="60F30D47"/>
    <w:rsid w:val="61631573"/>
    <w:rsid w:val="62074C63"/>
    <w:rsid w:val="62D07C60"/>
    <w:rsid w:val="63A71F08"/>
    <w:rsid w:val="63FF4D9E"/>
    <w:rsid w:val="645B3E33"/>
    <w:rsid w:val="64C847E7"/>
    <w:rsid w:val="65FF6A62"/>
    <w:rsid w:val="660038B1"/>
    <w:rsid w:val="66F01399"/>
    <w:rsid w:val="677521E5"/>
    <w:rsid w:val="67DF9081"/>
    <w:rsid w:val="67EB2D8A"/>
    <w:rsid w:val="68AE634B"/>
    <w:rsid w:val="69732C11"/>
    <w:rsid w:val="697D3521"/>
    <w:rsid w:val="6A1862EE"/>
    <w:rsid w:val="6B1D3668"/>
    <w:rsid w:val="6CBC777D"/>
    <w:rsid w:val="6CFE56E1"/>
    <w:rsid w:val="6D491F05"/>
    <w:rsid w:val="6FC935F6"/>
    <w:rsid w:val="70E85C4B"/>
    <w:rsid w:val="72866971"/>
    <w:rsid w:val="72946F8C"/>
    <w:rsid w:val="72DA05FA"/>
    <w:rsid w:val="73FF13ED"/>
    <w:rsid w:val="743F6FC7"/>
    <w:rsid w:val="76F16531"/>
    <w:rsid w:val="772D2B12"/>
    <w:rsid w:val="779437BB"/>
    <w:rsid w:val="77A359E5"/>
    <w:rsid w:val="77BF920F"/>
    <w:rsid w:val="77CC2A1C"/>
    <w:rsid w:val="77FF74E1"/>
    <w:rsid w:val="78461060"/>
    <w:rsid w:val="785E6707"/>
    <w:rsid w:val="79884EF0"/>
    <w:rsid w:val="7BBE2911"/>
    <w:rsid w:val="7C62341F"/>
    <w:rsid w:val="7CDFA0CF"/>
    <w:rsid w:val="7CEFC0E0"/>
    <w:rsid w:val="7D350036"/>
    <w:rsid w:val="7D932033"/>
    <w:rsid w:val="7DD97789"/>
    <w:rsid w:val="7E110425"/>
    <w:rsid w:val="7EB23BE8"/>
    <w:rsid w:val="7F677B3F"/>
    <w:rsid w:val="7F7EFB90"/>
    <w:rsid w:val="7FB52573"/>
    <w:rsid w:val="7FC17C22"/>
    <w:rsid w:val="7FE06570"/>
    <w:rsid w:val="7FFE940B"/>
    <w:rsid w:val="9E5E2958"/>
    <w:rsid w:val="9F5F82AD"/>
    <w:rsid w:val="B6FEAE2A"/>
    <w:rsid w:val="BFDB0929"/>
    <w:rsid w:val="DBBAB01A"/>
    <w:rsid w:val="DF97F0E4"/>
    <w:rsid w:val="F0FBA154"/>
    <w:rsid w:val="F6DFAD5D"/>
    <w:rsid w:val="F7BA1330"/>
    <w:rsid w:val="F7C90449"/>
    <w:rsid w:val="FD5B5BF8"/>
    <w:rsid w:val="FD5F56B7"/>
    <w:rsid w:val="FDE7B602"/>
    <w:rsid w:val="FEFF6A88"/>
    <w:rsid w:val="FFFD6398"/>
    <w:rsid w:val="FFFD784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autoRedefine/>
    <w:qFormat/>
    <w:uiPriority w:val="0"/>
  </w:style>
  <w:style w:type="table" w:default="1" w:styleId="7">
    <w:name w:val="Normal Table"/>
    <w:autoRedefine/>
    <w:unhideWhenUsed/>
    <w:qFormat/>
    <w:uiPriority w:val="99"/>
    <w:tblPr>
      <w:tblCellMar>
        <w:top w:w="0" w:type="dxa"/>
        <w:left w:w="108" w:type="dxa"/>
        <w:bottom w:w="0" w:type="dxa"/>
        <w:right w:w="108" w:type="dxa"/>
      </w:tblCellMar>
    </w:tblPr>
  </w:style>
  <w:style w:type="paragraph" w:styleId="2">
    <w:name w:val="annotation text"/>
    <w:basedOn w:val="1"/>
    <w:link w:val="22"/>
    <w:autoRedefine/>
    <w:semiHidden/>
    <w:unhideWhenUsed/>
    <w:qFormat/>
    <w:uiPriority w:val="99"/>
    <w:pPr>
      <w:jc w:val="left"/>
    </w:pPr>
  </w:style>
  <w:style w:type="paragraph" w:styleId="3">
    <w:name w:val="Balloon Text"/>
    <w:basedOn w:val="1"/>
    <w:link w:val="14"/>
    <w:unhideWhenUsed/>
    <w:qFormat/>
    <w:uiPriority w:val="99"/>
    <w:rPr>
      <w:sz w:val="18"/>
      <w:szCs w:val="18"/>
    </w:rPr>
  </w:style>
  <w:style w:type="paragraph" w:styleId="4">
    <w:name w:val="footer"/>
    <w:basedOn w:val="1"/>
    <w:link w:val="15"/>
    <w:qFormat/>
    <w:uiPriority w:val="99"/>
    <w:pPr>
      <w:tabs>
        <w:tab w:val="center" w:pos="4153"/>
        <w:tab w:val="right" w:pos="8306"/>
      </w:tabs>
      <w:snapToGrid w:val="0"/>
      <w:jc w:val="left"/>
    </w:pPr>
    <w:rPr>
      <w:sz w:val="18"/>
    </w:rPr>
  </w:style>
  <w:style w:type="paragraph" w:styleId="5">
    <w:name w:val="header"/>
    <w:basedOn w:val="1"/>
    <w:link w:val="16"/>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6">
    <w:name w:val="Normal (Web)"/>
    <w:basedOn w:val="1"/>
    <w:autoRedefine/>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SA"/>
    </w:rPr>
  </w:style>
  <w:style w:type="table" w:styleId="8">
    <w:name w:val="Table Grid"/>
    <w:basedOn w:val="7"/>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22"/>
    <w:rPr>
      <w:b/>
      <w:bCs/>
    </w:rPr>
  </w:style>
  <w:style w:type="character" w:styleId="11">
    <w:name w:val="page number"/>
    <w:unhideWhenUsed/>
    <w:qFormat/>
    <w:uiPriority w:val="99"/>
  </w:style>
  <w:style w:type="character" w:styleId="12">
    <w:name w:val="FollowedHyperlink"/>
    <w:unhideWhenUsed/>
    <w:qFormat/>
    <w:uiPriority w:val="99"/>
    <w:rPr>
      <w:color w:val="555555"/>
      <w:u w:val="none"/>
    </w:rPr>
  </w:style>
  <w:style w:type="character" w:styleId="13">
    <w:name w:val="Hyperlink"/>
    <w:unhideWhenUsed/>
    <w:qFormat/>
    <w:uiPriority w:val="99"/>
    <w:rPr>
      <w:color w:val="555555"/>
      <w:u w:val="none"/>
    </w:rPr>
  </w:style>
  <w:style w:type="character" w:customStyle="1" w:styleId="14">
    <w:name w:val="批注框文本 字符"/>
    <w:link w:val="3"/>
    <w:autoRedefine/>
    <w:semiHidden/>
    <w:qFormat/>
    <w:uiPriority w:val="99"/>
    <w:rPr>
      <w:kern w:val="2"/>
      <w:sz w:val="18"/>
      <w:szCs w:val="18"/>
    </w:rPr>
  </w:style>
  <w:style w:type="character" w:customStyle="1" w:styleId="15">
    <w:name w:val="页脚 字符"/>
    <w:link w:val="4"/>
    <w:qFormat/>
    <w:uiPriority w:val="99"/>
    <w:rPr>
      <w:kern w:val="2"/>
      <w:sz w:val="18"/>
    </w:rPr>
  </w:style>
  <w:style w:type="character" w:customStyle="1" w:styleId="16">
    <w:name w:val="页眉 字符"/>
    <w:link w:val="5"/>
    <w:qFormat/>
    <w:uiPriority w:val="99"/>
    <w:rPr>
      <w:kern w:val="2"/>
      <w:sz w:val="18"/>
    </w:rPr>
  </w:style>
  <w:style w:type="character" w:customStyle="1" w:styleId="17">
    <w:name w:val="moduletitle_menuitemsel"/>
    <w:qFormat/>
    <w:uiPriority w:val="0"/>
    <w:rPr>
      <w:rFonts w:ascii="Tahoma" w:hAnsi="Tahoma" w:eastAsia="Tahoma" w:cs="Tahoma"/>
      <w:b/>
      <w:color w:val="000000"/>
      <w:sz w:val="18"/>
      <w:szCs w:val="18"/>
    </w:rPr>
  </w:style>
  <w:style w:type="character" w:customStyle="1" w:styleId="18">
    <w:name w:val="language"/>
    <w:qFormat/>
    <w:uiPriority w:val="0"/>
  </w:style>
  <w:style w:type="paragraph" w:customStyle="1" w:styleId="19">
    <w:name w:val="_Style 18"/>
    <w:basedOn w:val="1"/>
    <w:next w:val="1"/>
    <w:qFormat/>
    <w:uiPriority w:val="0"/>
    <w:pPr>
      <w:pBdr>
        <w:bottom w:val="single" w:color="auto" w:sz="6" w:space="1"/>
      </w:pBdr>
      <w:jc w:val="center"/>
    </w:pPr>
    <w:rPr>
      <w:rFonts w:ascii="Arial" w:eastAsia="宋体"/>
      <w:vanish/>
      <w:sz w:val="16"/>
    </w:rPr>
  </w:style>
  <w:style w:type="paragraph" w:customStyle="1" w:styleId="20">
    <w:name w:val="_Style 19"/>
    <w:basedOn w:val="1"/>
    <w:next w:val="1"/>
    <w:autoRedefine/>
    <w:qFormat/>
    <w:uiPriority w:val="0"/>
    <w:pPr>
      <w:pBdr>
        <w:top w:val="single" w:color="auto" w:sz="6" w:space="1"/>
      </w:pBdr>
      <w:jc w:val="center"/>
    </w:pPr>
    <w:rPr>
      <w:rFonts w:ascii="Arial" w:eastAsia="宋体"/>
      <w:vanish/>
      <w:sz w:val="16"/>
    </w:rPr>
  </w:style>
  <w:style w:type="paragraph" w:customStyle="1" w:styleId="21">
    <w:name w:val="首行缩进:  2 字符 + 首行缩进:  2 字符"/>
    <w:basedOn w:val="1"/>
    <w:qFormat/>
    <w:uiPriority w:val="99"/>
    <w:pPr>
      <w:ind w:firstLine="560" w:firstLineChars="200"/>
    </w:pPr>
    <w:rPr>
      <w:rFonts w:eastAsia="仿宋_GB2312"/>
      <w:sz w:val="30"/>
      <w:szCs w:val="30"/>
    </w:rPr>
  </w:style>
  <w:style w:type="character" w:customStyle="1" w:styleId="22">
    <w:name w:val="批注文字 Char"/>
    <w:link w:val="2"/>
    <w:semiHidden/>
    <w:uiPriority w:val="99"/>
    <w:rPr>
      <w:kern w:val="2"/>
      <w:sz w:val="21"/>
    </w:rPr>
  </w:style>
  <w:style w:type="paragraph" w:customStyle="1" w:styleId="23">
    <w:name w:val="一级标题（二号小标宋）"/>
    <w:basedOn w:val="1"/>
    <w:qFormat/>
    <w:uiPriority w:val="0"/>
    <w:pPr>
      <w:widowControl/>
      <w:jc w:val="center"/>
    </w:pPr>
    <w:rPr>
      <w:rFonts w:ascii="方正书宋简体" w:hAnsi="方正书宋简体" w:eastAsia="方正小标宋_GBK"/>
      <w:color w:val="000000"/>
      <w:kern w:val="0"/>
      <w:sz w:val="42"/>
      <w:szCs w:val="4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10</Pages>
  <Words>2903</Words>
  <Characters>2965</Characters>
  <Lines>17</Lines>
  <Paragraphs>4</Paragraphs>
  <TotalTime>9</TotalTime>
  <ScaleCrop>false</ScaleCrop>
  <LinksUpToDate>false</LinksUpToDate>
  <CharactersWithSpaces>3120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2023-04-14T05:23:00Z</dcterms:created>
  <dc:creator>ych</dc:creator>
  <cp:lastModifiedBy>ASUS</cp:lastModifiedBy>
  <cp:lastPrinted>2016-10-03T08:29:00Z</cp:lastPrinted>
  <dcterms:modified xsi:type="dcterms:W3CDTF">2024-03-21T03:55:47Z</dcterms:modified>
  <dc:title>云南省人民政府关于促进服务外包发展的若干意见</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51ED7E301554420F8F1AD14F75B63739_13</vt:lpwstr>
  </property>
</Properties>
</file>