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小标宋简体" w:hAnsi="仿宋" w:eastAsia="方正小标宋简体" w:cs="仿宋"/>
          <w:color w:val="auto"/>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等线" w:hAnsi="等线" w:cs="等线"/>
          <w:color w:val="auto"/>
          <w:sz w:val="44"/>
          <w:szCs w:val="44"/>
        </w:rPr>
      </w:pPr>
      <w:r>
        <w:rPr>
          <w:rFonts w:hint="eastAsia" w:ascii="等线" w:hAnsi="等线" w:cs="等线"/>
          <w:color w:val="auto"/>
          <w:sz w:val="44"/>
          <w:szCs w:val="44"/>
        </w:rPr>
        <w:t>云南省服务外包示范区认定管理办法</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（云商规〔2021〕1号 自2021年12月17日起实施）</w:t>
      </w:r>
    </w:p>
    <w:p>
      <w:pPr>
        <w:rPr>
          <w:rFonts w:hint="eastAsia" w:ascii="仿宋_GB2312" w:hAnsi="仿宋" w:eastAsia="仿宋_GB2312" w:cs="仿宋"/>
          <w:b/>
          <w:bCs/>
          <w:color w:val="auto"/>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ind w:left="0" w:firstLine="0"/>
        <w:jc w:val="center"/>
        <w:textAlignment w:val="auto"/>
        <w:rPr>
          <w:rFonts w:ascii="黑体" w:eastAsia="黑体" w:cs="方正黑体_GBK"/>
          <w:bCs/>
          <w:color w:val="auto"/>
          <w:sz w:val="32"/>
          <w:szCs w:val="32"/>
        </w:rPr>
      </w:pPr>
      <w:bookmarkStart w:id="1" w:name="_GoBack"/>
      <w:bookmarkEnd w:id="1"/>
      <w:r>
        <w:rPr>
          <w:rFonts w:hint="eastAsia" w:ascii="黑体" w:eastAsia="黑体" w:cs="方正黑体_GBK"/>
          <w:bCs/>
          <w:color w:val="auto"/>
          <w:sz w:val="32"/>
          <w:szCs w:val="32"/>
        </w:rPr>
        <w:t>总则</w:t>
      </w:r>
    </w:p>
    <w:p>
      <w:pPr>
        <w:ind w:left="1275"/>
        <w:rPr>
          <w:rFonts w:hint="eastAsia" w:ascii="仿宋_GB2312" w:eastAsia="仿宋_GB2312"/>
          <w:b/>
          <w:bCs/>
          <w:color w:val="auto"/>
          <w:sz w:val="32"/>
          <w:szCs w:val="32"/>
        </w:rPr>
      </w:pP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 xml:space="preserve">第一条 </w:t>
      </w:r>
      <w:r>
        <w:rPr>
          <w:rFonts w:hint="eastAsia" w:ascii="仿宋_GB2312" w:hAnsi="仿宋_GB2312" w:eastAsia="仿宋_GB2312" w:cs="仿宋_GB2312"/>
          <w:color w:val="auto"/>
          <w:kern w:val="0"/>
          <w:sz w:val="32"/>
          <w:szCs w:val="32"/>
        </w:rPr>
        <w:t>为</w:t>
      </w:r>
      <w:r>
        <w:rPr>
          <w:rFonts w:hint="eastAsia" w:ascii="仿宋_GB2312" w:hAnsi="仿宋_GB2312" w:eastAsia="仿宋_GB2312" w:cs="仿宋_GB2312"/>
          <w:color w:val="auto"/>
          <w:sz w:val="32"/>
          <w:szCs w:val="32"/>
          <w:shd w:val="clear" w:color="auto" w:fill="FFFFFF"/>
        </w:rPr>
        <w:t>贯彻落实《云南省人民政府关于促进服务外包产业加快发展的实施意见》（云政发〔2015〕87号），引导我省服务外包产业集聚化、规模化发展，规范省级服务外包示范区的申报、认定管理等工作，结合我省实际，特制定本办法。</w:t>
      </w:r>
    </w:p>
    <w:p>
      <w:pPr>
        <w:ind w:firstLine="640" w:firstLineChars="200"/>
        <w:rPr>
          <w:rFonts w:hint="eastAsia" w:ascii="仿宋_GB2312" w:hAnsi="仿宋_GB2312" w:eastAsia="仿宋_GB2312" w:cs="仿宋_GB2312"/>
          <w:color w:val="auto"/>
          <w:kern w:val="0"/>
          <w:sz w:val="32"/>
          <w:szCs w:val="32"/>
        </w:rPr>
      </w:pPr>
      <w:r>
        <w:rPr>
          <w:rFonts w:hint="eastAsia" w:ascii="黑体" w:hAnsi="黑体" w:eastAsia="黑体" w:cs="黑体"/>
          <w:color w:val="auto"/>
          <w:sz w:val="32"/>
          <w:szCs w:val="32"/>
          <w:shd w:val="clear" w:color="auto" w:fill="FFFFFF"/>
        </w:rPr>
        <w:t xml:space="preserve">第二条 </w:t>
      </w:r>
      <w:r>
        <w:rPr>
          <w:rFonts w:hint="eastAsia" w:ascii="仿宋_GB2312" w:hAnsi="仿宋_GB2312" w:eastAsia="仿宋_GB2312" w:cs="仿宋_GB2312"/>
          <w:color w:val="auto"/>
          <w:kern w:val="0"/>
          <w:sz w:val="32"/>
          <w:szCs w:val="32"/>
        </w:rPr>
        <w:t>云南省服务外包示范区包括云南省服务外包示范城市、云南省服务外包示范园区、云南省服务外包示范基地。</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第三条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云南省服务外包示范城市（以下简称“示范城市”）是指符合我省国民经济和社会发展规划，立足区域和行业特点，重点发展服务外包产业，并具有示范带动作用的州（市）或县级市等。</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云南省服务外包示范园区（以下简称“示范园区”）是指服务外包企业相对集中，具有一定规模效益，在引导和带动本园区及周边开展承接服务外包业务方面具备一定基础的园区。服务外包示范园区有明确范围，一般是指国家或省级开发区、软件园区等特殊经济功能区。</w:t>
      </w:r>
    </w:p>
    <w:p>
      <w:pPr>
        <w:ind w:firstLine="640" w:firstLineChars="200"/>
        <w:rPr>
          <w:rFonts w:hint="eastAsia" w:ascii="方正仿宋_GBK" w:hAnsi="方正仿宋_GBK" w:eastAsia="方正仿宋_GBK" w:cs="方正仿宋_GBK"/>
          <w:color w:val="auto"/>
          <w:sz w:val="32"/>
          <w:szCs w:val="32"/>
        </w:rPr>
      </w:pPr>
      <w:r>
        <w:rPr>
          <w:rFonts w:hint="eastAsia" w:ascii="仿宋_GB2312" w:hAnsi="仿宋_GB2312" w:eastAsia="仿宋_GB2312" w:cs="仿宋_GB2312"/>
          <w:color w:val="auto"/>
          <w:kern w:val="0"/>
          <w:sz w:val="32"/>
          <w:szCs w:val="32"/>
        </w:rPr>
        <w:t>云南省服务外包示范基地（以下简称“示范基地”）是指服务外包企业相对集中，区域规模效益显著，承接业务突出、能够引导和带动当地企业开展各类服务外包业务，以承接服务外包业务为主的企业聚集区域。</w:t>
      </w:r>
    </w:p>
    <w:p>
      <w:pPr>
        <w:widowControl/>
        <w:ind w:firstLine="640" w:firstLineChars="200"/>
        <w:rPr>
          <w:rFonts w:hint="eastAsia" w:ascii="方正仿宋_GBK" w:hAnsi="方正仿宋_GBK" w:eastAsia="方正仿宋_GBK" w:cs="方正仿宋_GBK"/>
          <w:color w:val="auto"/>
          <w:kern w:val="0"/>
          <w:sz w:val="32"/>
          <w:szCs w:val="32"/>
        </w:rPr>
      </w:pPr>
      <w:r>
        <w:rPr>
          <w:rFonts w:hint="eastAsia" w:ascii="黑体" w:eastAsia="黑体" w:cs="方正黑体_GBK"/>
          <w:bCs/>
          <w:color w:val="auto"/>
          <w:sz w:val="32"/>
          <w:szCs w:val="32"/>
        </w:rPr>
        <w:t>第四条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示范城市、示范园区和示范基地的认定管理工作由省商务厅牵头负责，征求各有关部门意见后报省人民政府批准。认定管理与综合评价遵循公平、公正、公开、统筹规划、合理配置资源的原则，坚持以绩效为导向，择优选强，实行动态管理、总量控制、兼顾平衡。经认定的全省示范城市总数不超过3个，示范园区和示范基地合计不超过5个。</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第五条</w:t>
      </w:r>
      <w:r>
        <w:rPr>
          <w:rFonts w:hint="eastAsia" w:ascii="方正仿宋_GBK" w:hAnsi="方正仿宋_GBK" w:eastAsia="方正仿宋_GBK" w:cs="方正仿宋_GBK"/>
          <w:b/>
          <w:color w:val="auto"/>
          <w:kern w:val="0"/>
          <w:sz w:val="32"/>
          <w:szCs w:val="32"/>
        </w:rPr>
        <w:t xml:space="preserve"> </w:t>
      </w:r>
      <w:r>
        <w:rPr>
          <w:rFonts w:hint="eastAsia" w:ascii="仿宋_GB2312" w:hAnsi="仿宋_GB2312" w:eastAsia="仿宋_GB2312" w:cs="仿宋_GB2312"/>
          <w:color w:val="auto"/>
          <w:kern w:val="0"/>
          <w:sz w:val="32"/>
          <w:szCs w:val="32"/>
        </w:rPr>
        <w:t>省商务厅会同省级有关部门研究制定政策，对经认定的示范城市、示范园区和示范基地给予重点扶持。</w:t>
      </w:r>
    </w:p>
    <w:p>
      <w:pPr>
        <w:ind w:firstLine="640" w:firstLineChars="200"/>
        <w:rPr>
          <w:rFonts w:hint="eastAsia" w:ascii="仿宋_GB2312" w:hAnsi="仿宋_GB2312" w:eastAsia="仿宋_GB2312" w:cs="仿宋_GB2312"/>
          <w:color w:val="auto"/>
          <w:kern w:val="0"/>
          <w:sz w:val="32"/>
          <w:szCs w:val="32"/>
        </w:rPr>
      </w:pPr>
    </w:p>
    <w:p>
      <w:pPr>
        <w:numPr>
          <w:ilvl w:val="0"/>
          <w:numId w:val="1"/>
        </w:numPr>
        <w:jc w:val="center"/>
        <w:rPr>
          <w:rFonts w:hint="eastAsia" w:ascii="黑体" w:eastAsia="黑体" w:cs="方正黑体_GBK"/>
          <w:bCs/>
          <w:color w:val="auto"/>
          <w:sz w:val="32"/>
          <w:szCs w:val="32"/>
        </w:rPr>
      </w:pPr>
      <w:r>
        <w:rPr>
          <w:rFonts w:hint="eastAsia" w:ascii="黑体" w:eastAsia="黑体" w:cs="方正黑体_GBK"/>
          <w:bCs/>
          <w:color w:val="auto"/>
          <w:sz w:val="32"/>
          <w:szCs w:val="32"/>
        </w:rPr>
        <w:t xml:space="preserve"> 认定条件</w:t>
      </w:r>
    </w:p>
    <w:p>
      <w:pPr>
        <w:rPr>
          <w:rFonts w:hint="eastAsia" w:ascii="黑体" w:eastAsia="黑体" w:cs="方正黑体_GBK"/>
          <w:bCs/>
          <w:color w:val="auto"/>
          <w:sz w:val="32"/>
          <w:szCs w:val="32"/>
        </w:rPr>
      </w:pP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第六条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申请认定为示范城市应符合以下条件：</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（一）当地人民政府已将发展服务外包产业作为本地主要发展战略之一，已出台切实有效并具有可操作性的支持承接服务外包发展的政策及具体措施，有明确的发展目标、清晰的发展思路及切实可行的发展规划；</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（二）当地州（市）人民政府分管领导分管推进服务外包产业，有专门的管理机构负责服务外包城市的规划及建设；</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（三）具备发展服务外包的人才、产业、区位、环境及信息通讯技术等优势，服务体系健全，投融资便利，具有良好的投资合作环境。辖内具备高等院校和科研院所，以及相应的服务外包人力资源储备；</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（四）拥有10家及以上具备一定规模的从事承接服务外包业务的企业或服务外包人才培训机构，具有良好的服务基础和承接服务外包业务经验，具备承接国际服务外包的能力。</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第七条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申请认定为示范园区应具备下列条件：</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（一）符合所在州（市）服务外包发展规划和功能定位，把服务外包产业作为园区经济发展重点，有明确的发展目标和清晰的发展思路，有较为完善的服务外包产业发展规划或行动计划；</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（二）出台有关承接服务外包业务的具体扶持政策；</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（三）具有开展承接服务外包业务的基础，产业特色鲜明，发展定位明确。具有人才、产业、区位、通讯、电力等发展服务外包产业优势条件，配套设施完善；</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（四）拥有5家及以上具备一定规模的从事承接服务外包业务的企业或服务外包人才培训机构，具有良好的服务基础和承接服务外包业务的经验，具备承接国际服务外包的能力；</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（五）组织机构健全，分工明确，有专门的管理机构负责推动服务外包产业发展。</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第八条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申请认定为示范基地应符合以下条件：</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（一）符合省、州（市）、县（市、区）服务外包总体规划和功能定位，县（市、区）人民政府或上级主管部门制定了明确的产业发展规划和措施，推进发展服务外包产业的思路明晰、目标明确；</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（二）区域内具有开展承接服务外包业务的基础设施、产业基础以及人力资源供给，发展环境优越，服务体系健全，投融资便利，运营成本具有竞争力；</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基地内产业特色鲜明，重视知识产权保护，具备承接国际服务外包的能力，且具备在3—5年内培育承接服务外包业务优秀企业和孵化中小企业的条件，对本地区及周边地区开展承接服务外包业务具有带动作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（四）有推动服务外包基地建设发展的规划及管理机构。</w:t>
      </w:r>
    </w:p>
    <w:p>
      <w:pPr>
        <w:widowControl/>
        <w:ind w:firstLine="640" w:firstLineChars="200"/>
        <w:rPr>
          <w:rFonts w:hint="eastAsia" w:ascii="方正仿宋_GBK" w:hAnsi="方正仿宋_GBK" w:eastAsia="方正仿宋_GBK" w:cs="方正仿宋_GBK"/>
          <w:color w:val="auto"/>
          <w:kern w:val="0"/>
          <w:sz w:val="32"/>
          <w:szCs w:val="32"/>
        </w:rPr>
      </w:pPr>
    </w:p>
    <w:p>
      <w:pPr>
        <w:numPr>
          <w:ilvl w:val="0"/>
          <w:numId w:val="1"/>
        </w:numPr>
        <w:jc w:val="center"/>
        <w:rPr>
          <w:rFonts w:hint="eastAsia" w:ascii="黑体" w:eastAsia="黑体" w:cs="方正黑体_GBK"/>
          <w:bCs/>
          <w:color w:val="auto"/>
          <w:sz w:val="32"/>
          <w:szCs w:val="32"/>
        </w:rPr>
      </w:pPr>
      <w:r>
        <w:rPr>
          <w:rFonts w:hint="eastAsia" w:ascii="黑体" w:eastAsia="黑体" w:cs="方正黑体_GBK"/>
          <w:bCs/>
          <w:color w:val="auto"/>
          <w:sz w:val="32"/>
          <w:szCs w:val="32"/>
        </w:rPr>
        <w:t xml:space="preserve"> 申报材料</w:t>
      </w:r>
    </w:p>
    <w:p>
      <w:pPr>
        <w:rPr>
          <w:rFonts w:hint="eastAsia" w:ascii="黑体" w:eastAsia="黑体" w:cs="方正黑体_GBK"/>
          <w:bCs/>
          <w:color w:val="auto"/>
          <w:sz w:val="32"/>
          <w:szCs w:val="32"/>
        </w:rPr>
      </w:pP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第九条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申报示范城市应提供以下材料：</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（一）当地人民政府申请书；</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（二）《云南省服务外包示范城市申请表》、《从事承接服务外包业务的企业一览表》；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（三）当地高等院校和科研院所情况；</w:t>
      </w:r>
    </w:p>
    <w:p>
      <w:pPr>
        <w:ind w:firstLine="640" w:firstLineChars="200"/>
        <w:rPr>
          <w:rFonts w:hint="eastAsia" w:ascii="方正仿宋_GBK" w:hAnsi="方正仿宋_GBK" w:eastAsia="方正仿宋_GBK" w:cs="方正仿宋_GBK"/>
          <w:color w:val="auto"/>
          <w:kern w:val="0"/>
          <w:sz w:val="32"/>
          <w:szCs w:val="32"/>
        </w:rPr>
      </w:pPr>
      <w:r>
        <w:rPr>
          <w:rFonts w:hint="eastAsia" w:ascii="仿宋_GB2312" w:hAnsi="仿宋_GB2312" w:eastAsia="仿宋_GB2312" w:cs="仿宋_GB2312"/>
          <w:color w:val="auto"/>
          <w:kern w:val="0"/>
          <w:sz w:val="32"/>
          <w:szCs w:val="32"/>
        </w:rPr>
        <w:t>（四）当地人民政府将发展服务外包产业作为本地主要发展战略之一的明确意见和规划、扶持服务外包产业发展的有关政策措施及符合认定条件的有关文件等相关资料。</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第十条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申报示范园区应提供以下材料：</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（一）州（市）商务部门申请书；</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（二）《云南省服务外包示范园区申请表》、《从事承接服务外包业务的企业一览表》；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（三）服务外包产业规划或行动计划；</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（四）当地人民政府支持承接服务外包业务企业的政策及符合认定条件的有关文件等相关资料。</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第十一条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申报示范基地应提供以下材料：</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（一）当地县级商务部门或上级主管部门申请书；</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（二）《云南省服务外包示范基地申请表》、《从事承接服务外包业务的企业一览表》；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（三）从事服务外包业务的主要企业及业务类型，企业近两年的经营情况，承接离岸服务外包业务情况，获得国际资质认证情况。</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（四）当地人民政府鼓励扶持承接服务外包业务企业的政策及符合认定条件的有关文件等相关资料。</w:t>
      </w:r>
    </w:p>
    <w:p>
      <w:pPr>
        <w:ind w:firstLine="640" w:firstLineChars="200"/>
        <w:rPr>
          <w:rFonts w:hint="eastAsia" w:ascii="方正仿宋_GBK" w:hAnsi="方正仿宋_GBK" w:eastAsia="方正仿宋_GBK" w:cs="方正仿宋_GBK"/>
          <w:color w:val="auto"/>
          <w:kern w:val="0"/>
          <w:sz w:val="32"/>
          <w:szCs w:val="32"/>
        </w:rPr>
      </w:pPr>
      <w:r>
        <w:rPr>
          <w:rFonts w:hint="eastAsia" w:ascii="仿宋_GB2312" w:hAnsi="仿宋_GB2312" w:eastAsia="仿宋_GB2312" w:cs="仿宋_GB2312"/>
          <w:color w:val="auto"/>
          <w:kern w:val="0"/>
          <w:sz w:val="32"/>
          <w:szCs w:val="32"/>
        </w:rPr>
        <w:t>上述所有申报材料需装订成册，一式三份。</w:t>
      </w:r>
    </w:p>
    <w:p>
      <w:pPr>
        <w:ind w:firstLine="640" w:firstLineChars="200"/>
        <w:rPr>
          <w:rFonts w:hint="eastAsia" w:ascii="方正仿宋_GBK" w:hAnsi="方正仿宋_GBK" w:eastAsia="方正仿宋_GBK" w:cs="方正仿宋_GBK"/>
          <w:color w:val="auto"/>
          <w:kern w:val="0"/>
          <w:sz w:val="32"/>
          <w:szCs w:val="32"/>
        </w:rPr>
      </w:pPr>
    </w:p>
    <w:p>
      <w:pPr>
        <w:numPr>
          <w:ilvl w:val="0"/>
          <w:numId w:val="1"/>
        </w:numPr>
        <w:jc w:val="center"/>
        <w:rPr>
          <w:rFonts w:hint="eastAsia" w:ascii="黑体" w:eastAsia="黑体" w:cs="方正黑体_GBK"/>
          <w:bCs/>
          <w:color w:val="auto"/>
          <w:sz w:val="32"/>
          <w:szCs w:val="32"/>
        </w:rPr>
      </w:pPr>
      <w:r>
        <w:rPr>
          <w:rFonts w:hint="eastAsia" w:ascii="黑体" w:eastAsia="黑体" w:cs="方正黑体_GBK"/>
          <w:bCs/>
          <w:color w:val="auto"/>
          <w:sz w:val="32"/>
          <w:szCs w:val="32"/>
        </w:rPr>
        <w:t xml:space="preserve"> 认定程序</w:t>
      </w:r>
    </w:p>
    <w:p>
      <w:pPr>
        <w:rPr>
          <w:rFonts w:hint="eastAsia" w:ascii="黑体" w:eastAsia="黑体" w:cs="方正黑体_GBK"/>
          <w:bCs/>
          <w:color w:val="auto"/>
          <w:sz w:val="32"/>
          <w:szCs w:val="32"/>
        </w:rPr>
      </w:pPr>
    </w:p>
    <w:p>
      <w:pPr>
        <w:ind w:firstLine="645"/>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第十二条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申报城市、园区或基地提出申报申请，省商务厅收到申报材料后，委托具有资质的第三方机构对申报材料进行初审，在初审通过的基础上，由省商务厅组织省发展改革委、教育厅、科技厅、工业和信息化厅、财政厅等部门进行复审。</w:t>
      </w: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第十三条</w:t>
      </w:r>
      <w:r>
        <w:rPr>
          <w:rFonts w:hint="eastAsia" w:ascii="方正仿宋_GBK" w:hAnsi="方正仿宋_GBK" w:eastAsia="方正仿宋_GBK" w:cs="方正仿宋_GBK"/>
          <w:b/>
          <w:bCs/>
          <w:color w:val="auto"/>
          <w:kern w:val="0"/>
          <w:sz w:val="32"/>
          <w:szCs w:val="32"/>
        </w:rPr>
        <w:t xml:space="preserve"> </w:t>
      </w:r>
      <w:r>
        <w:rPr>
          <w:rFonts w:hint="eastAsia" w:ascii="仿宋_GB2312" w:hAnsi="仿宋_GB2312" w:eastAsia="仿宋_GB2312" w:cs="仿宋_GB2312"/>
          <w:color w:val="auto"/>
          <w:kern w:val="0"/>
          <w:sz w:val="32"/>
          <w:szCs w:val="32"/>
        </w:rPr>
        <w:t>对复审通过的示范区，由省商务厅在报经省人民政府批准后会同有关部门发文认定。</w:t>
      </w:r>
    </w:p>
    <w:p>
      <w:pPr>
        <w:ind w:firstLine="640" w:firstLineChars="200"/>
        <w:rPr>
          <w:rFonts w:hint="eastAsia" w:ascii="仿宋_GB2312" w:hAnsi="仿宋_GB2312" w:eastAsia="仿宋_GB2312" w:cs="仿宋_GB2312"/>
          <w:color w:val="auto"/>
          <w:kern w:val="0"/>
          <w:sz w:val="32"/>
          <w:szCs w:val="32"/>
        </w:rPr>
      </w:pPr>
    </w:p>
    <w:p>
      <w:pPr>
        <w:numPr>
          <w:ilvl w:val="0"/>
          <w:numId w:val="1"/>
        </w:numPr>
        <w:jc w:val="center"/>
        <w:rPr>
          <w:rFonts w:hint="eastAsia" w:ascii="黑体" w:eastAsia="黑体" w:cs="方正黑体_GBK"/>
          <w:bCs/>
          <w:color w:val="auto"/>
          <w:sz w:val="32"/>
          <w:szCs w:val="32"/>
        </w:rPr>
      </w:pPr>
      <w:r>
        <w:rPr>
          <w:rFonts w:hint="eastAsia" w:ascii="黑体" w:eastAsia="黑体" w:cs="方正黑体_GBK"/>
          <w:bCs/>
          <w:color w:val="auto"/>
          <w:sz w:val="32"/>
          <w:szCs w:val="32"/>
        </w:rPr>
        <w:t xml:space="preserve"> 附则</w:t>
      </w:r>
    </w:p>
    <w:p>
      <w:pPr>
        <w:rPr>
          <w:rFonts w:hint="eastAsia" w:ascii="黑体" w:eastAsia="黑体" w:cs="方正黑体_GBK"/>
          <w:bCs/>
          <w:color w:val="auto"/>
          <w:sz w:val="32"/>
          <w:szCs w:val="32"/>
        </w:rPr>
      </w:pPr>
    </w:p>
    <w:p>
      <w:pPr>
        <w:ind w:firstLine="640" w:firstLineChars="200"/>
        <w:rPr>
          <w:rFonts w:hint="eastAsia" w:ascii="仿宋_GB2312" w:hAnsi="仿宋_GB2312" w:eastAsia="仿宋_GB2312" w:cs="仿宋_GB2312"/>
          <w:color w:val="auto"/>
          <w:kern w:val="0"/>
          <w:sz w:val="32"/>
          <w:szCs w:val="32"/>
        </w:rPr>
      </w:pPr>
      <w:r>
        <w:rPr>
          <w:rFonts w:hint="eastAsia" w:ascii="黑体" w:eastAsia="黑体" w:cs="方正黑体_GBK"/>
          <w:bCs/>
          <w:color w:val="auto"/>
          <w:sz w:val="32"/>
          <w:szCs w:val="32"/>
        </w:rPr>
        <w:t>第十四条</w:t>
      </w:r>
      <w:r>
        <w:rPr>
          <w:rFonts w:hint="eastAsia" w:ascii="方正仿宋_GBK" w:hAnsi="方正仿宋_GBK" w:eastAsia="方正仿宋_GBK" w:cs="方正仿宋_GBK"/>
          <w:b/>
          <w:color w:val="auto"/>
          <w:sz w:val="32"/>
          <w:szCs w:val="32"/>
        </w:rPr>
        <w:t xml:space="preserve"> </w:t>
      </w:r>
      <w:r>
        <w:rPr>
          <w:rFonts w:hint="eastAsia" w:ascii="仿宋_GB2312" w:hAnsi="仿宋_GB2312" w:eastAsia="仿宋_GB2312" w:cs="仿宋_GB2312"/>
          <w:color w:val="auto"/>
          <w:kern w:val="0"/>
          <w:sz w:val="32"/>
          <w:szCs w:val="32"/>
        </w:rPr>
        <w:t>本办法自2021年12月17日起施行，有效期至2026年12月17日，原《云南省服务外包示范城市示范园区和示范基地认定管理暂行办法》同时废止。</w:t>
      </w:r>
    </w:p>
    <w:p>
      <w:pPr>
        <w:ind w:firstLine="640" w:firstLineChars="200"/>
        <w:rPr>
          <w:rFonts w:hint="eastAsia" w:ascii="仿宋_GB2312" w:hAnsi="仿宋_GB2312" w:eastAsia="仿宋_GB2312" w:cs="仿宋_GB2312"/>
          <w:color w:val="auto"/>
          <w:kern w:val="0"/>
          <w:sz w:val="32"/>
          <w:szCs w:val="32"/>
        </w:rPr>
      </w:pP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附件：1.云南省服务外包示范城市申请表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2.云南省服务外包示范园区申请表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3.云南省服务外包示范基地申请表</w:t>
      </w:r>
    </w:p>
    <w:p>
      <w:pPr>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4.从事承接服务外包业务的企业一览表</w:t>
      </w:r>
    </w:p>
    <w:p>
      <w:pPr>
        <w:ind w:firstLine="640" w:firstLineChars="200"/>
        <w:rPr>
          <w:rFonts w:hint="eastAsia"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ind w:firstLine="640" w:firstLineChars="200"/>
        <w:rPr>
          <w:rFonts w:ascii="仿宋_GB2312" w:hAnsi="仿宋_GB2312" w:eastAsia="仿宋_GB2312" w:cs="仿宋_GB2312"/>
          <w:color w:val="auto"/>
          <w:kern w:val="0"/>
          <w:sz w:val="32"/>
          <w:szCs w:val="32"/>
        </w:rPr>
      </w:pPr>
    </w:p>
    <w:p>
      <w:pPr>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附件1</w:t>
      </w:r>
    </w:p>
    <w:p>
      <w:pPr>
        <w:jc w:val="center"/>
        <w:rPr>
          <w:rFonts w:hint="eastAsia" w:ascii="仿宋_GB2312" w:eastAsia="仿宋_GB2312"/>
          <w:color w:val="auto"/>
          <w:sz w:val="44"/>
          <w:szCs w:val="44"/>
        </w:rPr>
      </w:pPr>
      <w:r>
        <w:rPr>
          <w:rFonts w:hint="eastAsia" w:ascii="仿宋_GB2312" w:hAnsi="宋体" w:eastAsia="仿宋_GB2312" w:cs="方正小标宋_GBK"/>
          <w:color w:val="auto"/>
          <w:sz w:val="44"/>
          <w:szCs w:val="44"/>
        </w:rPr>
        <w:t>云南省服务外包示范城市申请表</w:t>
      </w:r>
    </w:p>
    <w:tbl>
      <w:tblPr>
        <w:tblStyle w:val="7"/>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778"/>
        <w:gridCol w:w="102"/>
        <w:gridCol w:w="899"/>
        <w:gridCol w:w="783"/>
        <w:gridCol w:w="841"/>
        <w:gridCol w:w="630"/>
        <w:gridCol w:w="525"/>
        <w:gridCol w:w="315"/>
        <w:gridCol w:w="1369"/>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07"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申请城市</w:t>
            </w:r>
          </w:p>
        </w:tc>
        <w:tc>
          <w:tcPr>
            <w:tcW w:w="7619" w:type="dxa"/>
            <w:gridSpan w:val="10"/>
            <w:noWrap w:val="0"/>
            <w:vAlign w:val="center"/>
          </w:tcPr>
          <w:p>
            <w:pPr>
              <w:widowControl/>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07" w:type="dxa"/>
            <w:noWrap w:val="0"/>
            <w:vAlign w:val="center"/>
          </w:tcPr>
          <w:p>
            <w:pPr>
              <w:widowControl/>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联系人</w:t>
            </w:r>
          </w:p>
        </w:tc>
        <w:tc>
          <w:tcPr>
            <w:tcW w:w="880" w:type="dxa"/>
            <w:gridSpan w:val="2"/>
            <w:noWrap w:val="0"/>
            <w:vAlign w:val="center"/>
          </w:tcPr>
          <w:p>
            <w:pPr>
              <w:widowControl/>
              <w:jc w:val="center"/>
              <w:rPr>
                <w:rFonts w:hint="eastAsia" w:ascii="仿宋_GB2312" w:eastAsia="仿宋_GB2312"/>
                <w:color w:val="auto"/>
                <w:kern w:val="0"/>
                <w:sz w:val="24"/>
                <w:szCs w:val="24"/>
              </w:rPr>
            </w:pPr>
          </w:p>
        </w:tc>
        <w:tc>
          <w:tcPr>
            <w:tcW w:w="899"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电话</w:t>
            </w:r>
          </w:p>
        </w:tc>
        <w:tc>
          <w:tcPr>
            <w:tcW w:w="2254" w:type="dxa"/>
            <w:gridSpan w:val="3"/>
            <w:noWrap w:val="0"/>
            <w:vAlign w:val="center"/>
          </w:tcPr>
          <w:p>
            <w:pPr>
              <w:widowControl/>
              <w:jc w:val="center"/>
              <w:rPr>
                <w:rFonts w:hint="eastAsia" w:ascii="仿宋_GB2312" w:eastAsia="仿宋_GB2312"/>
                <w:color w:val="auto"/>
                <w:kern w:val="0"/>
                <w:sz w:val="24"/>
                <w:szCs w:val="24"/>
              </w:rPr>
            </w:pPr>
          </w:p>
        </w:tc>
        <w:tc>
          <w:tcPr>
            <w:tcW w:w="840" w:type="dxa"/>
            <w:gridSpan w:val="2"/>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邮箱</w:t>
            </w:r>
          </w:p>
        </w:tc>
        <w:tc>
          <w:tcPr>
            <w:tcW w:w="2746" w:type="dxa"/>
            <w:gridSpan w:val="2"/>
            <w:noWrap w:val="0"/>
            <w:vAlign w:val="center"/>
          </w:tcPr>
          <w:p>
            <w:pPr>
              <w:widowControl/>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926" w:type="dxa"/>
            <w:gridSpan w:val="11"/>
            <w:noWrap w:val="0"/>
            <w:vAlign w:val="center"/>
          </w:tcPr>
          <w:p>
            <w:pPr>
              <w:widowControl/>
              <w:ind w:firstLine="120" w:firstLineChars="50"/>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rPr>
              <w:t>一、申请城市情况介绍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总体发展情况：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产业经济：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基础设施：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4. 高等院校（含大专）：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5. 发展服务外包优势：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6.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26" w:type="dxa"/>
            <w:gridSpan w:val="11"/>
            <w:noWrap w:val="0"/>
            <w:vAlign w:val="center"/>
          </w:tcPr>
          <w:p>
            <w:pPr>
              <w:widowControl/>
              <w:ind w:firstLine="120" w:firstLineChars="50"/>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rPr>
              <w:t>二、服务外包发展现状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发展现状概述：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926" w:type="dxa"/>
            <w:gridSpan w:val="11"/>
            <w:noWrap w:val="0"/>
            <w:vAlign w:val="center"/>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相关指标数据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307" w:type="dxa"/>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  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外包企业数</w:t>
            </w:r>
          </w:p>
        </w:tc>
        <w:tc>
          <w:tcPr>
            <w:tcW w:w="778" w:type="dxa"/>
            <w:vMerge w:val="restart"/>
            <w:noWrap w:val="0"/>
            <w:vAlign w:val="center"/>
          </w:tcPr>
          <w:p>
            <w:pPr>
              <w:widowControl/>
              <w:ind w:firstLine="960" w:firstLineChars="4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001"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其中</w:t>
            </w:r>
          </w:p>
        </w:tc>
        <w:tc>
          <w:tcPr>
            <w:tcW w:w="783" w:type="dxa"/>
            <w:noWrap w:val="0"/>
            <w:vAlign w:val="center"/>
          </w:tcPr>
          <w:p>
            <w:pPr>
              <w:widowControl/>
              <w:ind w:left="12"/>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BPO</w:t>
            </w:r>
          </w:p>
        </w:tc>
        <w:tc>
          <w:tcPr>
            <w:tcW w:w="1996" w:type="dxa"/>
            <w:gridSpan w:val="3"/>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84"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外包从业人数</w:t>
            </w:r>
          </w:p>
        </w:tc>
        <w:tc>
          <w:tcPr>
            <w:tcW w:w="1377" w:type="dxa"/>
            <w:vMerge w:val="restart"/>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07" w:type="dxa"/>
            <w:vMerge w:val="continue"/>
            <w:noWrap w:val="0"/>
            <w:vAlign w:val="center"/>
          </w:tcPr>
          <w:p>
            <w:pPr>
              <w:widowControl/>
              <w:jc w:val="left"/>
              <w:rPr>
                <w:rFonts w:hint="eastAsia" w:ascii="仿宋_GB2312" w:eastAsia="仿宋_GB2312"/>
                <w:color w:val="auto"/>
                <w:kern w:val="0"/>
                <w:sz w:val="24"/>
                <w:szCs w:val="24"/>
              </w:rPr>
            </w:pPr>
          </w:p>
        </w:tc>
        <w:tc>
          <w:tcPr>
            <w:tcW w:w="778" w:type="dxa"/>
            <w:vMerge w:val="continue"/>
            <w:noWrap w:val="0"/>
            <w:vAlign w:val="center"/>
          </w:tcPr>
          <w:p>
            <w:pPr>
              <w:widowControl/>
              <w:jc w:val="left"/>
              <w:rPr>
                <w:rFonts w:hint="eastAsia" w:ascii="仿宋_GB2312" w:eastAsia="仿宋_GB2312"/>
                <w:color w:val="auto"/>
                <w:kern w:val="0"/>
                <w:sz w:val="24"/>
                <w:szCs w:val="24"/>
              </w:rPr>
            </w:pPr>
          </w:p>
        </w:tc>
        <w:tc>
          <w:tcPr>
            <w:tcW w:w="1001" w:type="dxa"/>
            <w:gridSpan w:val="2"/>
            <w:vMerge w:val="continue"/>
            <w:noWrap w:val="0"/>
            <w:vAlign w:val="center"/>
          </w:tcPr>
          <w:p>
            <w:pPr>
              <w:widowControl/>
              <w:jc w:val="left"/>
              <w:rPr>
                <w:rFonts w:hint="eastAsia" w:ascii="仿宋_GB2312" w:eastAsia="仿宋_GB2312"/>
                <w:color w:val="auto"/>
                <w:kern w:val="0"/>
                <w:sz w:val="24"/>
                <w:szCs w:val="24"/>
              </w:rPr>
            </w:pPr>
          </w:p>
        </w:tc>
        <w:tc>
          <w:tcPr>
            <w:tcW w:w="783" w:type="dxa"/>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ITO</w:t>
            </w:r>
          </w:p>
        </w:tc>
        <w:tc>
          <w:tcPr>
            <w:tcW w:w="1996" w:type="dxa"/>
            <w:gridSpan w:val="3"/>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84"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7" w:type="dxa"/>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307" w:type="dxa"/>
            <w:vMerge w:val="continue"/>
            <w:noWrap w:val="0"/>
            <w:vAlign w:val="center"/>
          </w:tcPr>
          <w:p>
            <w:pPr>
              <w:widowControl/>
              <w:jc w:val="left"/>
              <w:rPr>
                <w:rFonts w:hint="eastAsia" w:ascii="仿宋_GB2312" w:eastAsia="仿宋_GB2312"/>
                <w:color w:val="auto"/>
                <w:kern w:val="0"/>
                <w:sz w:val="24"/>
                <w:szCs w:val="24"/>
              </w:rPr>
            </w:pPr>
          </w:p>
        </w:tc>
        <w:tc>
          <w:tcPr>
            <w:tcW w:w="778" w:type="dxa"/>
            <w:vMerge w:val="continue"/>
            <w:noWrap w:val="0"/>
            <w:vAlign w:val="center"/>
          </w:tcPr>
          <w:p>
            <w:pPr>
              <w:widowControl/>
              <w:jc w:val="left"/>
              <w:rPr>
                <w:rFonts w:hint="eastAsia" w:ascii="仿宋_GB2312" w:eastAsia="仿宋_GB2312"/>
                <w:color w:val="auto"/>
                <w:kern w:val="0"/>
                <w:sz w:val="24"/>
                <w:szCs w:val="24"/>
              </w:rPr>
            </w:pPr>
          </w:p>
        </w:tc>
        <w:tc>
          <w:tcPr>
            <w:tcW w:w="1001" w:type="dxa"/>
            <w:gridSpan w:val="2"/>
            <w:vMerge w:val="continue"/>
            <w:noWrap w:val="0"/>
            <w:vAlign w:val="center"/>
          </w:tcPr>
          <w:p>
            <w:pPr>
              <w:widowControl/>
              <w:jc w:val="left"/>
              <w:rPr>
                <w:rFonts w:hint="eastAsia" w:ascii="仿宋_GB2312" w:eastAsia="仿宋_GB2312"/>
                <w:color w:val="auto"/>
                <w:kern w:val="0"/>
                <w:sz w:val="24"/>
                <w:szCs w:val="24"/>
              </w:rPr>
            </w:pPr>
          </w:p>
        </w:tc>
        <w:tc>
          <w:tcPr>
            <w:tcW w:w="783" w:type="dxa"/>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KPO</w:t>
            </w:r>
          </w:p>
        </w:tc>
        <w:tc>
          <w:tcPr>
            <w:tcW w:w="1996" w:type="dxa"/>
            <w:gridSpan w:val="3"/>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84"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7" w:type="dxa"/>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085" w:type="dxa"/>
            <w:gridSpan w:val="2"/>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上年度接包合同签约额</w:t>
            </w:r>
          </w:p>
        </w:tc>
        <w:tc>
          <w:tcPr>
            <w:tcW w:w="2625"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spacing w:val="-24"/>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3"/>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085" w:type="dxa"/>
            <w:gridSpan w:val="2"/>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上年度接包合同执行额</w:t>
            </w:r>
          </w:p>
        </w:tc>
        <w:tc>
          <w:tcPr>
            <w:tcW w:w="2625"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3"/>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710" w:type="dxa"/>
            <w:gridSpan w:val="6"/>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近二年接包合同签约额年平均增长率</w:t>
            </w:r>
          </w:p>
        </w:tc>
        <w:tc>
          <w:tcPr>
            <w:tcW w:w="4216"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710" w:type="dxa"/>
            <w:gridSpan w:val="6"/>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近二年接包合同执行额年平均增长率</w:t>
            </w:r>
          </w:p>
        </w:tc>
        <w:tc>
          <w:tcPr>
            <w:tcW w:w="4216"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26" w:type="dxa"/>
            <w:gridSpan w:val="11"/>
            <w:noWrap w:val="0"/>
            <w:vAlign w:val="center"/>
          </w:tcPr>
          <w:p>
            <w:pPr>
              <w:widowControl/>
              <w:ind w:firstLine="120" w:firstLineChars="50"/>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rPr>
              <w:t>三、服务外包发展规划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总体目标：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目标产业：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人才目标：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4. 企业目标：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5. 目标市场：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6.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926" w:type="dxa"/>
            <w:gridSpan w:val="11"/>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四、扶持政策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926" w:type="dxa"/>
            <w:gridSpan w:val="11"/>
            <w:noWrap w:val="0"/>
            <w:vAlign w:val="top"/>
          </w:tcPr>
          <w:p>
            <w:pPr>
              <w:widowControl/>
              <w:numPr>
                <w:ilvl w:val="0"/>
                <w:numId w:val="2"/>
              </w:numPr>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已出台的扶持政策：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926" w:type="dxa"/>
            <w:gridSpan w:val="11"/>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其他相关政策：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26" w:type="dxa"/>
            <w:gridSpan w:val="11"/>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五、已有服务外包园区（若有多个园区，请分别填写）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926" w:type="dxa"/>
            <w:gridSpan w:val="11"/>
            <w:noWrap w:val="0"/>
            <w:vAlign w:val="center"/>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园区发展概况：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6" w:hRule="atLeast"/>
          <w:jc w:val="center"/>
        </w:trPr>
        <w:tc>
          <w:tcPr>
            <w:tcW w:w="8926" w:type="dxa"/>
            <w:gridSpan w:val="11"/>
            <w:noWrap w:val="0"/>
            <w:vAlign w:val="center"/>
          </w:tcPr>
          <w:p>
            <w:pPr>
              <w:pStyle w:val="21"/>
              <w:ind w:firstLine="240" w:firstLineChars="100"/>
              <w:rPr>
                <w:rFonts w:hint="eastAsia" w:ascii="仿宋_GB2312" w:hAnsi="宋体"/>
                <w:color w:val="auto"/>
                <w:kern w:val="0"/>
                <w:sz w:val="24"/>
                <w:szCs w:val="24"/>
              </w:rPr>
            </w:pPr>
            <w:r>
              <w:rPr>
                <w:rFonts w:hint="eastAsia" w:ascii="仿宋_GB2312" w:hAnsi="宋体" w:cs="宋体"/>
                <w:color w:val="auto"/>
                <w:kern w:val="0"/>
                <w:sz w:val="24"/>
                <w:szCs w:val="24"/>
              </w:rPr>
              <w:t>本单位已核对相关申报材料，申报材料完整、真实、准确。以上保证内容如有不符，将承担相关责任。</w:t>
            </w:r>
          </w:p>
          <w:p>
            <w:pPr>
              <w:widowControl/>
              <w:rPr>
                <w:rFonts w:hint="eastAsia" w:ascii="仿宋_GB2312" w:eastAsia="仿宋_GB2312"/>
                <w:color w:val="auto"/>
                <w:kern w:val="0"/>
                <w:sz w:val="24"/>
                <w:szCs w:val="24"/>
              </w:rPr>
            </w:pPr>
          </w:p>
          <w:p>
            <w:pPr>
              <w:widowControl/>
              <w:ind w:right="480" w:firstLine="5400" w:firstLineChars="22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申报单位：（盖章）</w:t>
            </w:r>
          </w:p>
          <w:p>
            <w:pPr>
              <w:widowControl/>
              <w:ind w:right="480" w:firstLine="6120" w:firstLineChars="25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年月日</w:t>
            </w:r>
          </w:p>
        </w:tc>
      </w:tr>
    </w:tbl>
    <w:p>
      <w:pPr>
        <w:rPr>
          <w:rFonts w:hint="eastAsia" w:ascii="黑体" w:hAnsi="黑体" w:eastAsia="黑体" w:cs="黑体"/>
          <w:color w:val="auto"/>
          <w:sz w:val="32"/>
          <w:szCs w:val="32"/>
        </w:rPr>
      </w:pPr>
    </w:p>
    <w:p>
      <w:pPr>
        <w:rPr>
          <w:rFonts w:ascii="仿宋_GB2312" w:hAnsi="仿宋_GB2312" w:eastAsia="仿宋_GB2312" w:cs="仿宋_GB2312"/>
          <w:color w:val="auto"/>
          <w:kern w:val="0"/>
          <w:sz w:val="32"/>
          <w:szCs w:val="32"/>
        </w:rPr>
      </w:pPr>
    </w:p>
    <w:p>
      <w:pP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w:t>
      </w:r>
    </w:p>
    <w:p>
      <w:pPr>
        <w:jc w:val="center"/>
        <w:rPr>
          <w:rFonts w:hint="eastAsia" w:ascii="仿宋_GB2312" w:hAnsi="华文中宋" w:eastAsia="仿宋_GB2312"/>
          <w:color w:val="auto"/>
          <w:sz w:val="44"/>
          <w:szCs w:val="44"/>
        </w:rPr>
      </w:pPr>
      <w:r>
        <w:rPr>
          <w:rFonts w:hint="eastAsia" w:ascii="仿宋_GB2312" w:hAnsi="宋体" w:eastAsia="仿宋_GB2312" w:cs="方正小标宋_GBK"/>
          <w:color w:val="auto"/>
          <w:sz w:val="44"/>
          <w:szCs w:val="44"/>
        </w:rPr>
        <w:t>云南省服务外包示范园区申请表</w:t>
      </w:r>
    </w:p>
    <w:p>
      <w:pPr>
        <w:jc w:val="center"/>
        <w:rPr>
          <w:rFonts w:hint="eastAsia" w:ascii="仿宋_GB2312" w:eastAsia="仿宋_GB2312"/>
          <w:b/>
          <w:bCs/>
          <w:color w:val="auto"/>
        </w:rPr>
      </w:pP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976"/>
        <w:gridCol w:w="19"/>
        <w:gridCol w:w="836"/>
        <w:gridCol w:w="214"/>
        <w:gridCol w:w="732"/>
        <w:gridCol w:w="843"/>
        <w:gridCol w:w="945"/>
        <w:gridCol w:w="210"/>
        <w:gridCol w:w="11"/>
        <w:gridCol w:w="829"/>
        <w:gridCol w:w="842"/>
        <w:gridCol w:w="1365"/>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8" w:hRule="atLeast"/>
          <w:jc w:val="center"/>
        </w:trPr>
        <w:tc>
          <w:tcPr>
            <w:tcW w:w="1232"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园区名称</w:t>
            </w:r>
          </w:p>
        </w:tc>
        <w:tc>
          <w:tcPr>
            <w:tcW w:w="7822" w:type="dxa"/>
            <w:gridSpan w:val="12"/>
            <w:noWrap w:val="0"/>
            <w:vAlign w:val="top"/>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2" w:hRule="atLeast"/>
          <w:jc w:val="center"/>
        </w:trPr>
        <w:tc>
          <w:tcPr>
            <w:tcW w:w="1232"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园区地址</w:t>
            </w:r>
          </w:p>
        </w:tc>
        <w:tc>
          <w:tcPr>
            <w:tcW w:w="7822" w:type="dxa"/>
            <w:gridSpan w:val="12"/>
            <w:noWrap w:val="0"/>
            <w:vAlign w:val="center"/>
          </w:tcPr>
          <w:p>
            <w:pPr>
              <w:widowControl/>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88" w:hRule="atLeast"/>
          <w:jc w:val="center"/>
        </w:trPr>
        <w:tc>
          <w:tcPr>
            <w:tcW w:w="1232" w:type="dxa"/>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联系人</w:t>
            </w:r>
          </w:p>
        </w:tc>
        <w:tc>
          <w:tcPr>
            <w:tcW w:w="995" w:type="dxa"/>
            <w:gridSpan w:val="2"/>
            <w:noWrap w:val="0"/>
            <w:vAlign w:val="center"/>
          </w:tcPr>
          <w:p>
            <w:pPr>
              <w:widowControl/>
              <w:jc w:val="center"/>
              <w:rPr>
                <w:rFonts w:hint="eastAsia" w:ascii="仿宋_GB2312" w:eastAsia="仿宋_GB2312"/>
                <w:color w:val="auto"/>
                <w:kern w:val="0"/>
                <w:sz w:val="24"/>
                <w:szCs w:val="24"/>
              </w:rPr>
            </w:pPr>
          </w:p>
        </w:tc>
        <w:tc>
          <w:tcPr>
            <w:tcW w:w="1050" w:type="dxa"/>
            <w:gridSpan w:val="2"/>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电话</w:t>
            </w:r>
          </w:p>
        </w:tc>
        <w:tc>
          <w:tcPr>
            <w:tcW w:w="2520" w:type="dxa"/>
            <w:gridSpan w:val="3"/>
            <w:noWrap w:val="0"/>
            <w:vAlign w:val="center"/>
          </w:tcPr>
          <w:p>
            <w:pPr>
              <w:widowControl/>
              <w:jc w:val="center"/>
              <w:rPr>
                <w:rFonts w:hint="eastAsia" w:ascii="仿宋_GB2312" w:eastAsia="仿宋_GB2312"/>
                <w:color w:val="auto"/>
                <w:kern w:val="0"/>
                <w:sz w:val="24"/>
                <w:szCs w:val="24"/>
              </w:rPr>
            </w:pPr>
          </w:p>
        </w:tc>
        <w:tc>
          <w:tcPr>
            <w:tcW w:w="1050"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邮箱</w:t>
            </w:r>
          </w:p>
        </w:tc>
        <w:tc>
          <w:tcPr>
            <w:tcW w:w="2207" w:type="dxa"/>
            <w:gridSpan w:val="2"/>
            <w:noWrap w:val="0"/>
            <w:vAlign w:val="center"/>
          </w:tcPr>
          <w:p>
            <w:pPr>
              <w:widowControl/>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一、申请园区有关情况介绍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园区地理位置及面积：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园区主要经济指标：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园区管理机构：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二、园区服务外包发展现状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近二年区内服务外包业务概况：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区内现有从事承接服务外包业的主要企业及业务类别：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68" w:type="dxa"/>
            <w:gridSpan w:val="14"/>
            <w:noWrap w:val="0"/>
            <w:vAlign w:val="center"/>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相关指标数据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232" w:type="dxa"/>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  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外包企业数</w:t>
            </w:r>
          </w:p>
        </w:tc>
        <w:tc>
          <w:tcPr>
            <w:tcW w:w="976" w:type="dxa"/>
            <w:vMerge w:val="restart"/>
            <w:noWrap w:val="0"/>
            <w:vAlign w:val="center"/>
          </w:tcPr>
          <w:p>
            <w:pPr>
              <w:widowControl/>
              <w:ind w:firstLine="960" w:firstLineChars="4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855"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其中</w:t>
            </w:r>
          </w:p>
        </w:tc>
        <w:tc>
          <w:tcPr>
            <w:tcW w:w="946" w:type="dxa"/>
            <w:gridSpan w:val="2"/>
            <w:noWrap w:val="0"/>
            <w:vAlign w:val="center"/>
          </w:tcPr>
          <w:p>
            <w:pPr>
              <w:widowControl/>
              <w:ind w:left="12"/>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BPO</w:t>
            </w:r>
          </w:p>
        </w:tc>
        <w:tc>
          <w:tcPr>
            <w:tcW w:w="2009" w:type="dxa"/>
            <w:gridSpan w:val="4"/>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外包从业人数</w:t>
            </w:r>
          </w:p>
        </w:tc>
        <w:tc>
          <w:tcPr>
            <w:tcW w:w="1379" w:type="dxa"/>
            <w:gridSpan w:val="2"/>
            <w:vMerge w:val="restart"/>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232" w:type="dxa"/>
            <w:vMerge w:val="continue"/>
            <w:noWrap w:val="0"/>
            <w:vAlign w:val="center"/>
          </w:tcPr>
          <w:p>
            <w:pPr>
              <w:widowControl/>
              <w:jc w:val="left"/>
              <w:rPr>
                <w:rFonts w:hint="eastAsia" w:ascii="仿宋_GB2312" w:eastAsia="仿宋_GB2312"/>
                <w:color w:val="auto"/>
                <w:kern w:val="0"/>
                <w:sz w:val="24"/>
                <w:szCs w:val="24"/>
              </w:rPr>
            </w:pPr>
          </w:p>
        </w:tc>
        <w:tc>
          <w:tcPr>
            <w:tcW w:w="976" w:type="dxa"/>
            <w:vMerge w:val="continue"/>
            <w:noWrap w:val="0"/>
            <w:vAlign w:val="center"/>
          </w:tcPr>
          <w:p>
            <w:pPr>
              <w:widowControl/>
              <w:jc w:val="left"/>
              <w:rPr>
                <w:rFonts w:hint="eastAsia" w:ascii="仿宋_GB2312" w:eastAsia="仿宋_GB2312"/>
                <w:color w:val="auto"/>
                <w:kern w:val="0"/>
                <w:sz w:val="24"/>
                <w:szCs w:val="24"/>
              </w:rPr>
            </w:pPr>
          </w:p>
        </w:tc>
        <w:tc>
          <w:tcPr>
            <w:tcW w:w="855" w:type="dxa"/>
            <w:gridSpan w:val="2"/>
            <w:vMerge w:val="continue"/>
            <w:noWrap w:val="0"/>
            <w:vAlign w:val="center"/>
          </w:tcPr>
          <w:p>
            <w:pPr>
              <w:widowControl/>
              <w:jc w:val="left"/>
              <w:rPr>
                <w:rFonts w:hint="eastAsia" w:ascii="仿宋_GB2312" w:eastAsia="仿宋_GB2312"/>
                <w:color w:val="auto"/>
                <w:kern w:val="0"/>
                <w:sz w:val="24"/>
                <w:szCs w:val="24"/>
              </w:rPr>
            </w:pPr>
          </w:p>
        </w:tc>
        <w:tc>
          <w:tcPr>
            <w:tcW w:w="946" w:type="dxa"/>
            <w:gridSpan w:val="2"/>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ITO</w:t>
            </w:r>
          </w:p>
        </w:tc>
        <w:tc>
          <w:tcPr>
            <w:tcW w:w="2009" w:type="dxa"/>
            <w:gridSpan w:val="4"/>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9"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232" w:type="dxa"/>
            <w:vMerge w:val="continue"/>
            <w:noWrap w:val="0"/>
            <w:vAlign w:val="center"/>
          </w:tcPr>
          <w:p>
            <w:pPr>
              <w:widowControl/>
              <w:jc w:val="left"/>
              <w:rPr>
                <w:rFonts w:hint="eastAsia" w:ascii="仿宋_GB2312" w:eastAsia="仿宋_GB2312"/>
                <w:color w:val="auto"/>
                <w:kern w:val="0"/>
                <w:sz w:val="24"/>
                <w:szCs w:val="24"/>
              </w:rPr>
            </w:pPr>
          </w:p>
        </w:tc>
        <w:tc>
          <w:tcPr>
            <w:tcW w:w="976" w:type="dxa"/>
            <w:vMerge w:val="continue"/>
            <w:noWrap w:val="0"/>
            <w:vAlign w:val="center"/>
          </w:tcPr>
          <w:p>
            <w:pPr>
              <w:widowControl/>
              <w:jc w:val="left"/>
              <w:rPr>
                <w:rFonts w:hint="eastAsia" w:ascii="仿宋_GB2312" w:eastAsia="仿宋_GB2312"/>
                <w:color w:val="auto"/>
                <w:kern w:val="0"/>
                <w:sz w:val="24"/>
                <w:szCs w:val="24"/>
              </w:rPr>
            </w:pPr>
          </w:p>
        </w:tc>
        <w:tc>
          <w:tcPr>
            <w:tcW w:w="855" w:type="dxa"/>
            <w:gridSpan w:val="2"/>
            <w:vMerge w:val="continue"/>
            <w:noWrap w:val="0"/>
            <w:vAlign w:val="center"/>
          </w:tcPr>
          <w:p>
            <w:pPr>
              <w:widowControl/>
              <w:jc w:val="left"/>
              <w:rPr>
                <w:rFonts w:hint="eastAsia" w:ascii="仿宋_GB2312" w:eastAsia="仿宋_GB2312"/>
                <w:color w:val="auto"/>
                <w:kern w:val="0"/>
                <w:sz w:val="24"/>
                <w:szCs w:val="24"/>
              </w:rPr>
            </w:pPr>
          </w:p>
        </w:tc>
        <w:tc>
          <w:tcPr>
            <w:tcW w:w="946" w:type="dxa"/>
            <w:gridSpan w:val="2"/>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KPO</w:t>
            </w:r>
          </w:p>
        </w:tc>
        <w:tc>
          <w:tcPr>
            <w:tcW w:w="2009" w:type="dxa"/>
            <w:gridSpan w:val="4"/>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9"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227"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上年度接包合同签约额</w:t>
            </w:r>
          </w:p>
        </w:tc>
        <w:tc>
          <w:tcPr>
            <w:tcW w:w="2625"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spacing w:val="-24"/>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227"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上年度接包合同执行额</w:t>
            </w:r>
          </w:p>
        </w:tc>
        <w:tc>
          <w:tcPr>
            <w:tcW w:w="2625"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852" w:type="dxa"/>
            <w:gridSpan w:val="7"/>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近二年接包合同签约额年平均增长率</w:t>
            </w:r>
          </w:p>
        </w:tc>
        <w:tc>
          <w:tcPr>
            <w:tcW w:w="4216" w:type="dxa"/>
            <w:gridSpan w:val="7"/>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852" w:type="dxa"/>
            <w:gridSpan w:val="7"/>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近二年接包合同执行额年平均增长率</w:t>
            </w:r>
          </w:p>
        </w:tc>
        <w:tc>
          <w:tcPr>
            <w:tcW w:w="4216" w:type="dxa"/>
            <w:gridSpan w:val="7"/>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三、园区服务外包发展规划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五年内服务外包发展目标：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服务外包产业发展定位：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四、园区服务外包扶持政策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区内已出台鼓励服务外包的政策：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其他相关扶持政策：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9068" w:type="dxa"/>
            <w:gridSpan w:val="14"/>
            <w:noWrap w:val="0"/>
            <w:vAlign w:val="center"/>
          </w:tcPr>
          <w:p>
            <w:pPr>
              <w:pStyle w:val="21"/>
              <w:ind w:firstLine="0" w:firstLineChars="0"/>
              <w:rPr>
                <w:rFonts w:hint="eastAsia" w:ascii="仿宋_GB2312" w:hAnsi="宋体"/>
                <w:color w:val="auto"/>
                <w:sz w:val="24"/>
                <w:szCs w:val="24"/>
              </w:rPr>
            </w:pPr>
            <w:r>
              <w:rPr>
                <w:rFonts w:hint="eastAsia" w:ascii="仿宋_GB2312" w:hAnsi="宋体" w:cs="宋体"/>
                <w:color w:val="auto"/>
                <w:sz w:val="24"/>
                <w:szCs w:val="24"/>
              </w:rPr>
              <w:t>本单位已核对相关申报材料，申报材料完整、真实、准确。以上保证内容如有不符，将承担相关责任。</w:t>
            </w:r>
          </w:p>
          <w:p>
            <w:pPr>
              <w:widowControl/>
              <w:ind w:right="480" w:firstLine="5400" w:firstLineChars="22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申报单位：（盖章）</w:t>
            </w:r>
          </w:p>
          <w:p>
            <w:pPr>
              <w:widowControl/>
              <w:ind w:right="480" w:firstLine="6120" w:firstLineChars="25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6" w:hRule="atLeast"/>
          <w:jc w:val="center"/>
        </w:trPr>
        <w:tc>
          <w:tcPr>
            <w:tcW w:w="9068" w:type="dxa"/>
            <w:gridSpan w:val="14"/>
            <w:noWrap w:val="0"/>
            <w:vAlign w:val="top"/>
          </w:tcPr>
          <w:p>
            <w:pPr>
              <w:ind w:firstLine="240" w:firstLineChars="1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所在市人民政府推荐意见：</w:t>
            </w:r>
          </w:p>
          <w:p>
            <w:pPr>
              <w:rPr>
                <w:rFonts w:hint="eastAsia" w:ascii="仿宋_GB2312" w:eastAsia="仿宋_GB2312"/>
                <w:color w:val="auto"/>
                <w:kern w:val="0"/>
                <w:sz w:val="24"/>
                <w:szCs w:val="24"/>
              </w:rPr>
            </w:pPr>
          </w:p>
          <w:p>
            <w:pPr>
              <w:widowControl/>
              <w:ind w:right="480" w:firstLine="6360" w:firstLineChars="26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（盖章）</w:t>
            </w:r>
          </w:p>
          <w:p>
            <w:pPr>
              <w:widowControl/>
              <w:ind w:right="480" w:firstLine="6120" w:firstLineChars="25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年月日</w:t>
            </w:r>
          </w:p>
        </w:tc>
      </w:tr>
    </w:tbl>
    <w:p>
      <w:pPr>
        <w:rPr>
          <w:rFonts w:ascii="黑体" w:hAnsi="黑体" w:eastAsia="黑体" w:cs="黑体"/>
          <w:color w:val="auto"/>
          <w:sz w:val="32"/>
          <w:szCs w:val="32"/>
        </w:rPr>
      </w:pPr>
    </w:p>
    <w:p>
      <w:pPr>
        <w:rPr>
          <w:rFonts w:ascii="仿宋_GB2312" w:hAnsi="仿宋_GB2312" w:eastAsia="仿宋_GB2312" w:cs="仿宋_GB2312"/>
          <w:color w:val="auto"/>
          <w:kern w:val="0"/>
          <w:sz w:val="32"/>
          <w:szCs w:val="32"/>
        </w:rPr>
      </w:pPr>
    </w:p>
    <w:p>
      <w:pPr>
        <w:rPr>
          <w:rFonts w:ascii="仿宋_GB2312" w:hAnsi="仿宋_GB2312" w:eastAsia="仿宋_GB2312" w:cs="仿宋_GB2312"/>
          <w:color w:val="auto"/>
          <w:kern w:val="0"/>
          <w:sz w:val="32"/>
          <w:szCs w:val="32"/>
        </w:rPr>
      </w:pPr>
    </w:p>
    <w:p>
      <w:pPr>
        <w:rPr>
          <w:rFonts w:ascii="仿宋_GB2312" w:hAnsi="仿宋_GB2312" w:eastAsia="仿宋_GB2312" w:cs="仿宋_GB2312"/>
          <w:color w:val="auto"/>
          <w:kern w:val="0"/>
          <w:sz w:val="32"/>
          <w:szCs w:val="32"/>
        </w:rPr>
      </w:pPr>
    </w:p>
    <w:p>
      <w:pP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附件3</w:t>
      </w:r>
    </w:p>
    <w:p>
      <w:pPr>
        <w:jc w:val="center"/>
        <w:rPr>
          <w:rFonts w:hint="eastAsia" w:ascii="仿宋_GB2312" w:hAnsi="华文中宋" w:eastAsia="仿宋_GB2312"/>
          <w:color w:val="auto"/>
          <w:sz w:val="44"/>
          <w:szCs w:val="44"/>
        </w:rPr>
      </w:pPr>
      <w:r>
        <w:rPr>
          <w:rFonts w:hint="eastAsia" w:ascii="仿宋_GB2312" w:hAnsi="宋体" w:eastAsia="仿宋_GB2312" w:cs="方正小标宋_GBK"/>
          <w:color w:val="auto"/>
          <w:sz w:val="44"/>
          <w:szCs w:val="44"/>
        </w:rPr>
        <w:t>云南省服务外包示范基地申请表</w:t>
      </w:r>
    </w:p>
    <w:p>
      <w:pPr>
        <w:jc w:val="center"/>
        <w:rPr>
          <w:rFonts w:hint="eastAsia" w:ascii="仿宋_GB2312" w:eastAsia="仿宋_GB2312"/>
          <w:b/>
          <w:bCs/>
          <w:color w:val="auto"/>
        </w:rPr>
      </w:pP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976"/>
        <w:gridCol w:w="503"/>
        <w:gridCol w:w="352"/>
        <w:gridCol w:w="605"/>
        <w:gridCol w:w="341"/>
        <w:gridCol w:w="843"/>
        <w:gridCol w:w="945"/>
        <w:gridCol w:w="210"/>
        <w:gridCol w:w="11"/>
        <w:gridCol w:w="829"/>
        <w:gridCol w:w="842"/>
        <w:gridCol w:w="1365"/>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8" w:hRule="atLeast"/>
          <w:jc w:val="center"/>
        </w:trPr>
        <w:tc>
          <w:tcPr>
            <w:tcW w:w="1232"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基地名称</w:t>
            </w:r>
          </w:p>
        </w:tc>
        <w:tc>
          <w:tcPr>
            <w:tcW w:w="7822" w:type="dxa"/>
            <w:gridSpan w:val="12"/>
            <w:noWrap w:val="0"/>
            <w:vAlign w:val="top"/>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2" w:hRule="atLeast"/>
          <w:jc w:val="center"/>
        </w:trPr>
        <w:tc>
          <w:tcPr>
            <w:tcW w:w="1232" w:type="dxa"/>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基地地址</w:t>
            </w:r>
          </w:p>
        </w:tc>
        <w:tc>
          <w:tcPr>
            <w:tcW w:w="7822" w:type="dxa"/>
            <w:gridSpan w:val="12"/>
            <w:noWrap w:val="0"/>
            <w:vAlign w:val="center"/>
          </w:tcPr>
          <w:p>
            <w:pPr>
              <w:widowControl/>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88" w:hRule="atLeast"/>
          <w:jc w:val="center"/>
        </w:trPr>
        <w:tc>
          <w:tcPr>
            <w:tcW w:w="1232" w:type="dxa"/>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联系人</w:t>
            </w:r>
          </w:p>
        </w:tc>
        <w:tc>
          <w:tcPr>
            <w:tcW w:w="1479" w:type="dxa"/>
            <w:gridSpan w:val="2"/>
            <w:noWrap w:val="0"/>
            <w:vAlign w:val="center"/>
          </w:tcPr>
          <w:p>
            <w:pPr>
              <w:widowControl/>
              <w:jc w:val="center"/>
              <w:rPr>
                <w:rFonts w:hint="eastAsia" w:ascii="仿宋_GB2312" w:eastAsia="仿宋_GB2312"/>
                <w:color w:val="auto"/>
                <w:kern w:val="0"/>
                <w:sz w:val="24"/>
                <w:szCs w:val="24"/>
              </w:rPr>
            </w:pPr>
          </w:p>
        </w:tc>
        <w:tc>
          <w:tcPr>
            <w:tcW w:w="957" w:type="dxa"/>
            <w:gridSpan w:val="2"/>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电话</w:t>
            </w:r>
          </w:p>
        </w:tc>
        <w:tc>
          <w:tcPr>
            <w:tcW w:w="2129" w:type="dxa"/>
            <w:gridSpan w:val="3"/>
            <w:noWrap w:val="0"/>
            <w:vAlign w:val="center"/>
          </w:tcPr>
          <w:p>
            <w:pPr>
              <w:widowControl/>
              <w:jc w:val="center"/>
              <w:rPr>
                <w:rFonts w:hint="eastAsia" w:ascii="仿宋_GB2312" w:eastAsia="仿宋_GB2312"/>
                <w:color w:val="auto"/>
                <w:kern w:val="0"/>
                <w:sz w:val="24"/>
                <w:szCs w:val="24"/>
              </w:rPr>
            </w:pPr>
          </w:p>
        </w:tc>
        <w:tc>
          <w:tcPr>
            <w:tcW w:w="1050"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邮箱</w:t>
            </w:r>
          </w:p>
        </w:tc>
        <w:tc>
          <w:tcPr>
            <w:tcW w:w="2207" w:type="dxa"/>
            <w:gridSpan w:val="2"/>
            <w:noWrap w:val="0"/>
            <w:vAlign w:val="center"/>
          </w:tcPr>
          <w:p>
            <w:pPr>
              <w:widowControl/>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一、基地有关情况介绍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基地地理位置及面积：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基地主要经济指标：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基地管理机构：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二、基地服务外包发展现状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近二年区内服务外包业务概况：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区内现有从事承接服务外包业的主要企业及业务类别：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68" w:type="dxa"/>
            <w:gridSpan w:val="14"/>
            <w:noWrap w:val="0"/>
            <w:vAlign w:val="center"/>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3. 相关指标数据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232" w:type="dxa"/>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  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外包企业数</w:t>
            </w:r>
          </w:p>
        </w:tc>
        <w:tc>
          <w:tcPr>
            <w:tcW w:w="976" w:type="dxa"/>
            <w:vMerge w:val="restart"/>
            <w:noWrap w:val="0"/>
            <w:vAlign w:val="center"/>
          </w:tcPr>
          <w:p>
            <w:pPr>
              <w:widowControl/>
              <w:ind w:firstLine="960" w:firstLineChars="4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855"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其中</w:t>
            </w:r>
          </w:p>
        </w:tc>
        <w:tc>
          <w:tcPr>
            <w:tcW w:w="946" w:type="dxa"/>
            <w:gridSpan w:val="2"/>
            <w:noWrap w:val="0"/>
            <w:vAlign w:val="center"/>
          </w:tcPr>
          <w:p>
            <w:pPr>
              <w:widowControl/>
              <w:ind w:left="12"/>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BPO</w:t>
            </w:r>
          </w:p>
        </w:tc>
        <w:tc>
          <w:tcPr>
            <w:tcW w:w="2009" w:type="dxa"/>
            <w:gridSpan w:val="4"/>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restart"/>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截至年</w:t>
            </w:r>
          </w:p>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外包从业人数</w:t>
            </w:r>
          </w:p>
        </w:tc>
        <w:tc>
          <w:tcPr>
            <w:tcW w:w="1379" w:type="dxa"/>
            <w:gridSpan w:val="2"/>
            <w:vMerge w:val="restart"/>
            <w:noWrap w:val="0"/>
            <w:vAlign w:val="center"/>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232" w:type="dxa"/>
            <w:vMerge w:val="continue"/>
            <w:noWrap w:val="0"/>
            <w:vAlign w:val="center"/>
          </w:tcPr>
          <w:p>
            <w:pPr>
              <w:widowControl/>
              <w:jc w:val="left"/>
              <w:rPr>
                <w:rFonts w:hint="eastAsia" w:ascii="仿宋_GB2312" w:eastAsia="仿宋_GB2312"/>
                <w:color w:val="auto"/>
                <w:kern w:val="0"/>
                <w:sz w:val="24"/>
                <w:szCs w:val="24"/>
              </w:rPr>
            </w:pPr>
          </w:p>
        </w:tc>
        <w:tc>
          <w:tcPr>
            <w:tcW w:w="976" w:type="dxa"/>
            <w:vMerge w:val="continue"/>
            <w:noWrap w:val="0"/>
            <w:vAlign w:val="center"/>
          </w:tcPr>
          <w:p>
            <w:pPr>
              <w:widowControl/>
              <w:jc w:val="left"/>
              <w:rPr>
                <w:rFonts w:hint="eastAsia" w:ascii="仿宋_GB2312" w:eastAsia="仿宋_GB2312"/>
                <w:color w:val="auto"/>
                <w:kern w:val="0"/>
                <w:sz w:val="24"/>
                <w:szCs w:val="24"/>
              </w:rPr>
            </w:pPr>
          </w:p>
        </w:tc>
        <w:tc>
          <w:tcPr>
            <w:tcW w:w="855" w:type="dxa"/>
            <w:gridSpan w:val="2"/>
            <w:vMerge w:val="continue"/>
            <w:noWrap w:val="0"/>
            <w:vAlign w:val="center"/>
          </w:tcPr>
          <w:p>
            <w:pPr>
              <w:widowControl/>
              <w:jc w:val="left"/>
              <w:rPr>
                <w:rFonts w:hint="eastAsia" w:ascii="仿宋_GB2312" w:eastAsia="仿宋_GB2312"/>
                <w:color w:val="auto"/>
                <w:kern w:val="0"/>
                <w:sz w:val="24"/>
                <w:szCs w:val="24"/>
              </w:rPr>
            </w:pPr>
          </w:p>
        </w:tc>
        <w:tc>
          <w:tcPr>
            <w:tcW w:w="946" w:type="dxa"/>
            <w:gridSpan w:val="2"/>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ITO</w:t>
            </w:r>
          </w:p>
        </w:tc>
        <w:tc>
          <w:tcPr>
            <w:tcW w:w="2009" w:type="dxa"/>
            <w:gridSpan w:val="4"/>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9"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232" w:type="dxa"/>
            <w:vMerge w:val="continue"/>
            <w:noWrap w:val="0"/>
            <w:vAlign w:val="center"/>
          </w:tcPr>
          <w:p>
            <w:pPr>
              <w:widowControl/>
              <w:jc w:val="left"/>
              <w:rPr>
                <w:rFonts w:hint="eastAsia" w:ascii="仿宋_GB2312" w:eastAsia="仿宋_GB2312"/>
                <w:color w:val="auto"/>
                <w:kern w:val="0"/>
                <w:sz w:val="24"/>
                <w:szCs w:val="24"/>
              </w:rPr>
            </w:pPr>
          </w:p>
        </w:tc>
        <w:tc>
          <w:tcPr>
            <w:tcW w:w="976" w:type="dxa"/>
            <w:vMerge w:val="continue"/>
            <w:noWrap w:val="0"/>
            <w:vAlign w:val="center"/>
          </w:tcPr>
          <w:p>
            <w:pPr>
              <w:widowControl/>
              <w:jc w:val="left"/>
              <w:rPr>
                <w:rFonts w:hint="eastAsia" w:ascii="仿宋_GB2312" w:eastAsia="仿宋_GB2312"/>
                <w:color w:val="auto"/>
                <w:kern w:val="0"/>
                <w:sz w:val="24"/>
                <w:szCs w:val="24"/>
              </w:rPr>
            </w:pPr>
          </w:p>
        </w:tc>
        <w:tc>
          <w:tcPr>
            <w:tcW w:w="855" w:type="dxa"/>
            <w:gridSpan w:val="2"/>
            <w:vMerge w:val="continue"/>
            <w:noWrap w:val="0"/>
            <w:vAlign w:val="center"/>
          </w:tcPr>
          <w:p>
            <w:pPr>
              <w:widowControl/>
              <w:jc w:val="left"/>
              <w:rPr>
                <w:rFonts w:hint="eastAsia" w:ascii="仿宋_GB2312" w:eastAsia="仿宋_GB2312"/>
                <w:color w:val="auto"/>
                <w:kern w:val="0"/>
                <w:sz w:val="24"/>
                <w:szCs w:val="24"/>
              </w:rPr>
            </w:pPr>
          </w:p>
        </w:tc>
        <w:tc>
          <w:tcPr>
            <w:tcW w:w="946" w:type="dxa"/>
            <w:gridSpan w:val="2"/>
            <w:noWrap w:val="0"/>
            <w:vAlign w:val="top"/>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KPO</w:t>
            </w:r>
          </w:p>
        </w:tc>
        <w:tc>
          <w:tcPr>
            <w:tcW w:w="2009" w:type="dxa"/>
            <w:gridSpan w:val="4"/>
            <w:noWrap w:val="0"/>
            <w:vAlign w:val="top"/>
          </w:tcPr>
          <w:p>
            <w:pPr>
              <w:widowControl/>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家</w:t>
            </w:r>
          </w:p>
        </w:tc>
        <w:tc>
          <w:tcPr>
            <w:tcW w:w="1671"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c>
          <w:tcPr>
            <w:tcW w:w="1379" w:type="dxa"/>
            <w:gridSpan w:val="2"/>
            <w:vMerge w:val="continue"/>
            <w:noWrap w:val="0"/>
            <w:tcMar>
              <w:top w:w="0" w:type="dxa"/>
              <w:left w:w="0" w:type="dxa"/>
              <w:bottom w:w="0" w:type="dxa"/>
              <w:right w:w="0" w:type="dxa"/>
            </w:tcMar>
            <w:vAlign w:val="center"/>
          </w:tcPr>
          <w:p>
            <w:pPr>
              <w:widowControl/>
              <w:jc w:val="left"/>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11"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上年度接包合同签约额</w:t>
            </w:r>
          </w:p>
        </w:tc>
        <w:tc>
          <w:tcPr>
            <w:tcW w:w="2141"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spacing w:val="-24"/>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711" w:type="dxa"/>
            <w:gridSpan w:val="3"/>
            <w:noWrap w:val="0"/>
            <w:vAlign w:val="center"/>
          </w:tcPr>
          <w:p>
            <w:pPr>
              <w:widowControl/>
              <w:jc w:val="center"/>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上年度接包合同执行额</w:t>
            </w:r>
          </w:p>
        </w:tc>
        <w:tc>
          <w:tcPr>
            <w:tcW w:w="2141" w:type="dxa"/>
            <w:gridSpan w:val="4"/>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c>
          <w:tcPr>
            <w:tcW w:w="1155" w:type="dxa"/>
            <w:gridSpan w:val="2"/>
            <w:noWrap w:val="0"/>
            <w:vAlign w:val="center"/>
          </w:tcPr>
          <w:p>
            <w:pPr>
              <w:widowControl/>
              <w:rPr>
                <w:rFonts w:hint="eastAsia" w:ascii="仿宋_GB2312" w:eastAsia="仿宋_GB2312"/>
                <w:color w:val="auto"/>
                <w:kern w:val="0"/>
                <w:sz w:val="24"/>
                <w:szCs w:val="24"/>
              </w:rPr>
            </w:pPr>
            <w:r>
              <w:rPr>
                <w:rFonts w:hint="eastAsia" w:ascii="仿宋_GB2312" w:hAnsi="宋体" w:eastAsia="仿宋_GB2312" w:cs="宋体"/>
                <w:color w:val="auto"/>
                <w:spacing w:val="-24"/>
                <w:kern w:val="0"/>
                <w:sz w:val="24"/>
                <w:szCs w:val="24"/>
              </w:rPr>
              <w:t>其中：离岸</w:t>
            </w:r>
          </w:p>
        </w:tc>
        <w:tc>
          <w:tcPr>
            <w:tcW w:w="3061" w:type="dxa"/>
            <w:gridSpan w:val="5"/>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852" w:type="dxa"/>
            <w:gridSpan w:val="7"/>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近二年接包合同签约额年平均增长率</w:t>
            </w:r>
          </w:p>
        </w:tc>
        <w:tc>
          <w:tcPr>
            <w:tcW w:w="4216" w:type="dxa"/>
            <w:gridSpan w:val="7"/>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852" w:type="dxa"/>
            <w:gridSpan w:val="7"/>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近二年接包合同执行额年平均增长率</w:t>
            </w:r>
          </w:p>
        </w:tc>
        <w:tc>
          <w:tcPr>
            <w:tcW w:w="4216" w:type="dxa"/>
            <w:gridSpan w:val="7"/>
            <w:noWrap w:val="0"/>
            <w:vAlign w:val="center"/>
          </w:tcPr>
          <w:p>
            <w:pPr>
              <w:widowControl/>
              <w:ind w:firstLine="480" w:firstLineChars="200"/>
              <w:jc w:val="right"/>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三、基地服务外包发展规划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五年内服务外包发展目标：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服务外包产业发展定位：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068" w:type="dxa"/>
            <w:gridSpan w:val="14"/>
            <w:noWrap w:val="0"/>
            <w:vAlign w:val="center"/>
          </w:tcPr>
          <w:p>
            <w:pPr>
              <w:widowControl/>
              <w:ind w:firstLine="120" w:firstLineChars="50"/>
              <w:rPr>
                <w:rFonts w:hint="eastAsia" w:ascii="仿宋_GB2312" w:eastAsia="仿宋_GB2312"/>
                <w:color w:val="auto"/>
                <w:kern w:val="0"/>
                <w:sz w:val="24"/>
                <w:szCs w:val="24"/>
              </w:rPr>
            </w:pPr>
            <w:r>
              <w:rPr>
                <w:rFonts w:hint="eastAsia" w:ascii="仿宋_GB2312" w:hAnsi="宋体" w:eastAsia="仿宋_GB2312" w:cs="宋体"/>
                <w:b/>
                <w:bCs/>
                <w:color w:val="auto"/>
                <w:kern w:val="0"/>
                <w:sz w:val="24"/>
                <w:szCs w:val="24"/>
              </w:rPr>
              <w:t>四、基地服务外包扶持政策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1. 基地内已出台鼓励服务外包的政策：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9068" w:type="dxa"/>
            <w:gridSpan w:val="14"/>
            <w:noWrap w:val="0"/>
            <w:vAlign w:val="top"/>
          </w:tcPr>
          <w:p>
            <w:pPr>
              <w:widowControl/>
              <w:ind w:firstLine="117" w:firstLineChars="49"/>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2. 其他相关扶持政策：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9068" w:type="dxa"/>
            <w:gridSpan w:val="14"/>
            <w:noWrap w:val="0"/>
            <w:vAlign w:val="center"/>
          </w:tcPr>
          <w:p>
            <w:pPr>
              <w:pStyle w:val="21"/>
              <w:ind w:firstLine="0" w:firstLineChars="0"/>
              <w:rPr>
                <w:rFonts w:hint="eastAsia" w:ascii="仿宋_GB2312" w:hAnsi="宋体"/>
                <w:color w:val="auto"/>
                <w:sz w:val="24"/>
                <w:szCs w:val="24"/>
              </w:rPr>
            </w:pPr>
            <w:r>
              <w:rPr>
                <w:rFonts w:hint="eastAsia" w:ascii="仿宋_GB2312" w:hAnsi="宋体" w:cs="宋体"/>
                <w:color w:val="auto"/>
                <w:sz w:val="24"/>
                <w:szCs w:val="24"/>
              </w:rPr>
              <w:t>本单位已核对相关申报材料，申报材料完整、真实、准确。以上保证内容如有不符，将承担相关责任。</w:t>
            </w:r>
          </w:p>
          <w:p>
            <w:pPr>
              <w:widowControl/>
              <w:ind w:right="480" w:firstLine="5400" w:firstLineChars="22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申报单位：（盖章）</w:t>
            </w:r>
          </w:p>
          <w:p>
            <w:pPr>
              <w:widowControl/>
              <w:ind w:right="480" w:firstLine="6120" w:firstLineChars="25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068" w:type="dxa"/>
            <w:gridSpan w:val="14"/>
            <w:noWrap w:val="0"/>
            <w:vAlign w:val="top"/>
          </w:tcPr>
          <w:p>
            <w:pPr>
              <w:ind w:firstLine="240" w:firstLineChars="1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所在县（区）人民政府或上级主管部门推荐意见：</w:t>
            </w:r>
          </w:p>
          <w:p>
            <w:pPr>
              <w:rPr>
                <w:rFonts w:hint="eastAsia" w:ascii="仿宋_GB2312" w:eastAsia="仿宋_GB2312"/>
                <w:color w:val="auto"/>
                <w:kern w:val="0"/>
                <w:sz w:val="24"/>
                <w:szCs w:val="24"/>
              </w:rPr>
            </w:pPr>
          </w:p>
          <w:p>
            <w:pPr>
              <w:widowControl/>
              <w:ind w:right="480" w:firstLine="6360" w:firstLineChars="26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（盖章）</w:t>
            </w:r>
          </w:p>
          <w:p>
            <w:pPr>
              <w:widowControl/>
              <w:ind w:right="480" w:firstLine="6120" w:firstLineChars="25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9068" w:type="dxa"/>
            <w:gridSpan w:val="14"/>
            <w:noWrap w:val="0"/>
            <w:vAlign w:val="top"/>
          </w:tcPr>
          <w:p>
            <w:pPr>
              <w:ind w:firstLine="240" w:firstLineChars="10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所在市级商务部门推荐意见：</w:t>
            </w:r>
          </w:p>
          <w:p>
            <w:pPr>
              <w:rPr>
                <w:rFonts w:hint="eastAsia" w:ascii="仿宋_GB2312" w:eastAsia="仿宋_GB2312"/>
                <w:color w:val="auto"/>
                <w:kern w:val="0"/>
                <w:sz w:val="24"/>
                <w:szCs w:val="24"/>
              </w:rPr>
            </w:pPr>
          </w:p>
          <w:p>
            <w:pPr>
              <w:widowControl/>
              <w:ind w:right="480" w:firstLine="6360" w:firstLineChars="2650"/>
              <w:rPr>
                <w:rFonts w:hint="eastAsia" w:ascii="仿宋_GB2312" w:eastAsia="仿宋_GB2312"/>
                <w:color w:val="auto"/>
                <w:kern w:val="0"/>
                <w:sz w:val="24"/>
                <w:szCs w:val="24"/>
              </w:rPr>
            </w:pPr>
            <w:r>
              <w:rPr>
                <w:rFonts w:hint="eastAsia" w:ascii="仿宋_GB2312" w:hAnsi="宋体" w:eastAsia="仿宋_GB2312" w:cs="宋体"/>
                <w:color w:val="auto"/>
                <w:kern w:val="0"/>
                <w:sz w:val="24"/>
                <w:szCs w:val="24"/>
              </w:rPr>
              <w:t>（盖章）</w:t>
            </w:r>
          </w:p>
          <w:p>
            <w:pPr>
              <w:ind w:right="480" w:firstLine="6120" w:firstLineChars="255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年月日</w:t>
            </w:r>
          </w:p>
        </w:tc>
      </w:tr>
    </w:tbl>
    <w:p>
      <w:pPr>
        <w:rPr>
          <w:rFonts w:hint="eastAsia" w:ascii="黑体" w:hAnsi="黑体" w:eastAsia="黑体" w:cs="黑体"/>
          <w:color w:val="auto"/>
          <w:sz w:val="32"/>
          <w:szCs w:val="32"/>
        </w:rPr>
      </w:pPr>
    </w:p>
    <w:p>
      <w:pPr>
        <w:rPr>
          <w:rFonts w:hint="eastAsia" w:ascii="黑体" w:hAnsi="黑体" w:eastAsia="黑体" w:cs="黑体"/>
          <w:color w:val="auto"/>
          <w:sz w:val="32"/>
          <w:szCs w:val="32"/>
        </w:rPr>
      </w:pPr>
    </w:p>
    <w:p>
      <w:pPr>
        <w:rPr>
          <w:rFonts w:hint="eastAsia" w:ascii="黑体" w:hAnsi="黑体" w:eastAsia="黑体" w:cs="黑体"/>
          <w:color w:val="auto"/>
          <w:sz w:val="32"/>
          <w:szCs w:val="32"/>
        </w:rPr>
      </w:pPr>
    </w:p>
    <w:p>
      <w:pPr>
        <w:rPr>
          <w:rFonts w:hint="eastAsia" w:ascii="黑体" w:hAnsi="黑体" w:eastAsia="黑体" w:cs="黑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type="lines" w:linePitch="312" w:charSpace="0"/>
        </w:sectPr>
      </w:pPr>
    </w:p>
    <w:p>
      <w:pP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附件4</w:t>
      </w:r>
    </w:p>
    <w:p>
      <w:pPr>
        <w:jc w:val="center"/>
        <w:rPr>
          <w:rFonts w:hint="eastAsia" w:ascii="仿宋_GB2312" w:eastAsia="仿宋_GB2312"/>
          <w:color w:val="auto"/>
          <w:sz w:val="44"/>
          <w:szCs w:val="44"/>
        </w:rPr>
      </w:pPr>
      <w:r>
        <w:rPr>
          <w:rFonts w:hint="eastAsia" w:ascii="仿宋_GB2312" w:hAnsi="宋体" w:eastAsia="仿宋_GB2312" w:cs="方正小标宋_GBK"/>
          <w:color w:val="auto"/>
          <w:sz w:val="44"/>
          <w:szCs w:val="44"/>
        </w:rPr>
        <w:t>从事承接服务外包业务的企业一览表</w:t>
      </w:r>
    </w:p>
    <w:p>
      <w:pPr>
        <w:rPr>
          <w:rFonts w:hint="eastAsia" w:ascii="仿宋_GB2312" w:eastAsia="仿宋_GB2312"/>
          <w:color w:val="auto"/>
          <w:sz w:val="24"/>
          <w:szCs w:val="24"/>
        </w:rPr>
      </w:pPr>
    </w:p>
    <w:tbl>
      <w:tblPr>
        <w:tblStyle w:val="7"/>
        <w:tblpPr w:leftFromText="180" w:rightFromText="180" w:vertAnchor="text" w:horzAnchor="page" w:tblpX="1633" w:tblpY="4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997"/>
        <w:gridCol w:w="1488"/>
        <w:gridCol w:w="1327"/>
        <w:gridCol w:w="4223"/>
        <w:gridCol w:w="2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42"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序号</w:t>
            </w:r>
          </w:p>
        </w:tc>
        <w:tc>
          <w:tcPr>
            <w:tcW w:w="2997"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企业名称</w:t>
            </w:r>
          </w:p>
        </w:tc>
        <w:tc>
          <w:tcPr>
            <w:tcW w:w="1488"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注册资本</w:t>
            </w:r>
          </w:p>
        </w:tc>
        <w:tc>
          <w:tcPr>
            <w:tcW w:w="1327"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设立时间</w:t>
            </w:r>
          </w:p>
        </w:tc>
        <w:tc>
          <w:tcPr>
            <w:tcW w:w="4223"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主要接包业务</w:t>
            </w:r>
          </w:p>
        </w:tc>
        <w:tc>
          <w:tcPr>
            <w:tcW w:w="2435" w:type="dxa"/>
            <w:noWrap w:val="0"/>
            <w:vAlign w:val="center"/>
          </w:tcPr>
          <w:p>
            <w:pPr>
              <w:jc w:val="center"/>
              <w:rPr>
                <w:rFonts w:hint="eastAsia" w:ascii="仿宋_GB2312" w:eastAsia="仿宋_GB2312"/>
                <w:b/>
                <w:bCs/>
                <w:color w:val="auto"/>
                <w:sz w:val="24"/>
                <w:szCs w:val="24"/>
              </w:rPr>
            </w:pPr>
            <w:r>
              <w:rPr>
                <w:rFonts w:hint="eastAsia" w:ascii="仿宋_GB2312" w:eastAsia="仿宋_GB2312" w:cs="宋体"/>
                <w:b/>
                <w:bCs/>
                <w:color w:val="auto"/>
                <w:sz w:val="24"/>
                <w:szCs w:val="24"/>
              </w:rPr>
              <w:t>上年度营业收入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noWrap w:val="0"/>
            <w:vAlign w:val="top"/>
          </w:tcPr>
          <w:p>
            <w:pPr>
              <w:rPr>
                <w:rFonts w:hint="eastAsia" w:ascii="仿宋_GB2312" w:eastAsia="仿宋_GB2312"/>
                <w:color w:val="auto"/>
                <w:sz w:val="24"/>
                <w:szCs w:val="24"/>
              </w:rPr>
            </w:pPr>
          </w:p>
        </w:tc>
        <w:tc>
          <w:tcPr>
            <w:tcW w:w="2997" w:type="dxa"/>
            <w:noWrap w:val="0"/>
            <w:vAlign w:val="top"/>
          </w:tcPr>
          <w:p>
            <w:pPr>
              <w:rPr>
                <w:rFonts w:hint="eastAsia" w:ascii="仿宋_GB2312" w:eastAsia="仿宋_GB2312"/>
                <w:color w:val="auto"/>
                <w:sz w:val="24"/>
                <w:szCs w:val="24"/>
              </w:rPr>
            </w:pPr>
          </w:p>
        </w:tc>
        <w:tc>
          <w:tcPr>
            <w:tcW w:w="1488" w:type="dxa"/>
            <w:noWrap w:val="0"/>
            <w:vAlign w:val="top"/>
          </w:tcPr>
          <w:p>
            <w:pPr>
              <w:rPr>
                <w:rFonts w:hint="eastAsia" w:ascii="仿宋_GB2312" w:eastAsia="仿宋_GB2312"/>
                <w:color w:val="auto"/>
                <w:sz w:val="24"/>
                <w:szCs w:val="24"/>
              </w:rPr>
            </w:pPr>
          </w:p>
        </w:tc>
        <w:tc>
          <w:tcPr>
            <w:tcW w:w="1327" w:type="dxa"/>
            <w:noWrap w:val="0"/>
            <w:vAlign w:val="top"/>
          </w:tcPr>
          <w:p>
            <w:pPr>
              <w:rPr>
                <w:rFonts w:hint="eastAsia" w:ascii="仿宋_GB2312" w:eastAsia="仿宋_GB2312"/>
                <w:color w:val="auto"/>
                <w:sz w:val="24"/>
                <w:szCs w:val="24"/>
              </w:rPr>
            </w:pPr>
          </w:p>
        </w:tc>
        <w:tc>
          <w:tcPr>
            <w:tcW w:w="4223" w:type="dxa"/>
            <w:noWrap w:val="0"/>
            <w:vAlign w:val="top"/>
          </w:tcPr>
          <w:p>
            <w:pPr>
              <w:rPr>
                <w:rFonts w:hint="eastAsia" w:ascii="仿宋_GB2312" w:eastAsia="仿宋_GB2312"/>
                <w:color w:val="auto"/>
                <w:sz w:val="24"/>
                <w:szCs w:val="24"/>
              </w:rPr>
            </w:pPr>
          </w:p>
        </w:tc>
        <w:tc>
          <w:tcPr>
            <w:tcW w:w="2435" w:type="dxa"/>
            <w:noWrap w:val="0"/>
            <w:vAlign w:val="top"/>
          </w:tcPr>
          <w:p>
            <w:pPr>
              <w:rPr>
                <w:rFonts w:hint="eastAsia" w:ascii="仿宋_GB2312" w:eastAsia="仿宋_GB2312"/>
                <w:color w:val="auto"/>
                <w:sz w:val="24"/>
                <w:szCs w:val="24"/>
              </w:rPr>
            </w:pPr>
          </w:p>
        </w:tc>
      </w:tr>
    </w:tbl>
    <w:p>
      <w:pPr>
        <w:rPr>
          <w:rFonts w:hint="eastAsia" w:ascii="仿宋_GB2312" w:hAnsi="仿宋" w:eastAsia="仿宋_GB2312" w:cs="仿宋"/>
          <w:color w:val="auto"/>
          <w:sz w:val="24"/>
          <w:szCs w:val="24"/>
        </w:rPr>
      </w:pPr>
    </w:p>
    <w:sectPr>
      <w:pgSz w:w="16838" w:h="11906" w:orient="landscape"/>
      <w:pgMar w:top="1803" w:right="1440" w:bottom="1803" w:left="1440"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cs="宋体"/>
        <w:b/>
        <w:bCs/>
        <w:color w:val="005192"/>
        <w:sz w:val="28"/>
        <w:szCs w:val="44"/>
      </w:rPr>
    </w:pPr>
    <w:bookmarkStart w:id="0" w:name="_Hlk132189194"/>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r>
      <w:pict>
        <v:rect id="_x0000_i1026" o:spt="1" style="height:1.75pt;width:415.3pt;" fillcolor="#0070C0" filled="t" stroked="f" coordsize="21600,21600" o:hr="t" o:hrstd="t" o:hrnoshade="t" o:hralign="center">
          <v:path/>
          <v:fill on="t" focussize="0,0"/>
          <v:stroke on="f"/>
          <v:imagedata o:title=""/>
          <o:lock v:ext="edit"/>
          <w10:wrap type="none"/>
          <w10:anchorlock/>
        </v:rect>
      </w:pict>
    </w:r>
  </w:p>
  <w:p>
    <w:pPr>
      <w:pStyle w:val="4"/>
      <w:wordWrap w:val="0"/>
      <w:jc w:val="right"/>
      <w:rPr>
        <w:rFonts w:hint="default" w:eastAsia="宋体"/>
        <w:lang w:val="en-US" w:eastAsia="zh-CN"/>
      </w:rPr>
    </w:pPr>
    <w:r>
      <w:rPr>
        <w:rFonts w:hint="eastAsia" w:ascii="宋体" w:hAnsi="宋体" w:cs="宋体"/>
        <w:b/>
        <w:bCs/>
        <w:color w:val="005192"/>
        <w:sz w:val="28"/>
        <w:szCs w:val="44"/>
      </w:rPr>
      <w:t>云南省商务厅发布</w:t>
    </w:r>
    <w:bookmarkEnd w:id="0"/>
    <w:r>
      <w:rPr>
        <w:rFonts w:hint="eastAsia" w:ascii="宋体" w:hAnsi="宋体" w:cs="宋体"/>
        <w:b/>
        <w:bCs/>
        <w:color w:val="005192"/>
        <w:sz w:val="28"/>
        <w:szCs w:val="44"/>
        <w:lang w:val="en-US" w:eastAsia="zh-CN"/>
      </w:rPr>
      <w:t xml:space="preserve">  </w:t>
    </w:r>
  </w:p>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cs="宋体"/>
        <w:b/>
        <w:bCs/>
        <w:color w:val="005192"/>
        <w:sz w:val="28"/>
        <w:szCs w:val="44"/>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r>
      <w:pict>
        <v:rect id="_x0000_i1028" o:spt="1" style="height:1.75pt;width:415.3pt;" fillcolor="#0070C0" filled="t" stroked="f" coordsize="21600,21600" o:hr="t" o:hrstd="t" o:hrnoshade="t" o:hralign="center">
          <v:path/>
          <v:fill on="t" focussize="0,0"/>
          <v:stroke on="f"/>
          <v:imagedata o:title=""/>
          <o:lock v:ext="edit"/>
          <w10:wrap type="none"/>
          <w10:anchorlock/>
        </v:rect>
      </w:pict>
    </w:r>
  </w:p>
  <w:p>
    <w:pPr>
      <w:pStyle w:val="4"/>
      <w:wordWrap w:val="0"/>
      <w:jc w:val="right"/>
      <w:rPr>
        <w:rFonts w:hint="default" w:eastAsia="宋体"/>
        <w:lang w:val="en-US" w:eastAsia="zh-CN"/>
      </w:rPr>
    </w:pPr>
    <w:r>
      <w:rPr>
        <w:rFonts w:hint="eastAsia" w:ascii="宋体" w:hAnsi="宋体" w:cs="宋体"/>
        <w:b/>
        <w:bCs/>
        <w:color w:val="005192"/>
        <w:sz w:val="28"/>
        <w:szCs w:val="44"/>
      </w:rPr>
      <w:t>云南省商务厅发布</w:t>
    </w:r>
    <w:r>
      <w:rPr>
        <w:rFonts w:hint="eastAsia" w:ascii="宋体" w:hAnsi="宋体" w:cs="宋体"/>
        <w:b/>
        <w:bCs/>
        <w:color w:val="005192"/>
        <w:sz w:val="28"/>
        <w:szCs w:val="44"/>
        <w:lang w:val="en-US" w:eastAsia="zh-CN"/>
      </w:rPr>
      <w:t xml:space="preserve">  </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pBdr>
        <w:bottom w:val="none" w:color="auto" w:sz="0" w:space="6"/>
      </w:pBdr>
      <w:kinsoku/>
      <w:wordWrap/>
      <w:overflowPunct/>
      <w:topLinePunct w:val="0"/>
      <w:bidi w:val="0"/>
      <w:adjustRightInd/>
      <w:snapToGrid w:val="0"/>
      <w:spacing w:line="400" w:lineRule="exact"/>
      <w:jc w:val="left"/>
      <w:textAlignment w:val="center"/>
      <w:rPr>
        <w:rFonts w:ascii="宋体" w:hAnsi="宋体" w:cs="宋体"/>
        <w:b/>
        <w:bCs/>
        <w:color w:val="005192"/>
        <w:sz w:val="32"/>
        <w:szCs w:val="32"/>
      </w:rPr>
    </w:pPr>
    <w:r>
      <w:rPr>
        <w:rFonts w:ascii="宋体" w:hAnsi="宋体" w:cs="宋体"/>
        <w:b/>
        <w:color w:val="005192"/>
        <w:sz w:val="32"/>
      </w:rPr>
      <w:drawing>
        <wp:inline distT="0" distB="0" distL="114300" distR="114300">
          <wp:extent cx="300355" cy="273685"/>
          <wp:effectExtent l="0" t="0" r="4445" b="635"/>
          <wp:docPr id="2" name="图片 9"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C:/Users/ASUS/Desktop/图片1.png图片1"/>
                  <pic:cNvPicPr>
                    <a:picLocks noChangeAspect="1"/>
                  </pic:cNvPicPr>
                </pic:nvPicPr>
                <pic:blipFill>
                  <a:blip r:embed="rId1"/>
                  <a:srcRect t="4440" b="4440"/>
                  <a:stretch>
                    <a:fillRect/>
                  </a:stretch>
                </pic:blipFill>
                <pic:spPr>
                  <a:xfrm>
                    <a:off x="0" y="0"/>
                    <a:ext cx="300355" cy="273685"/>
                  </a:xfrm>
                  <a:prstGeom prst="rect">
                    <a:avLst/>
                  </a:prstGeom>
                  <a:noFill/>
                  <a:ln>
                    <a:noFill/>
                  </a:ln>
                </pic:spPr>
              </pic:pic>
            </a:graphicData>
          </a:graphic>
        </wp:inline>
      </w:drawing>
    </w:r>
    <w:r>
      <w:rPr>
        <w:rFonts w:hint="eastAsia" w:ascii="宋体" w:hAnsi="宋体" w:cs="宋体"/>
        <w:b/>
        <w:bCs/>
        <w:color w:val="005192"/>
        <w:sz w:val="32"/>
        <w:szCs w:val="32"/>
      </w:rPr>
      <w:t>云南省商务厅</w:t>
    </w:r>
    <w:r>
      <w:rPr>
        <w:rFonts w:hint="eastAsia" w:ascii="宋体" w:hAnsi="宋体" w:cs="宋体"/>
        <w:b/>
        <w:bCs/>
        <w:color w:val="005192"/>
        <w:sz w:val="32"/>
        <w:szCs w:val="32"/>
        <w:lang w:val="en-US" w:eastAsia="zh-CN"/>
      </w:rPr>
      <w:t>行政</w:t>
    </w:r>
    <w:r>
      <w:rPr>
        <w:rFonts w:hint="eastAsia" w:ascii="宋体" w:hAnsi="宋体" w:cs="宋体"/>
        <w:b/>
        <w:bCs/>
        <w:color w:val="005192"/>
        <w:sz w:val="32"/>
        <w:szCs w:val="32"/>
      </w:rPr>
      <w:t>规范性文件</w:t>
    </w:r>
    <w:r>
      <w:rPr>
        <w:rFonts w:hint="eastAsia" w:ascii="宋体" w:hAnsi="宋体" w:cs="宋体"/>
        <w:b/>
        <w:bCs/>
        <w:color w:val="005192"/>
        <w:sz w:val="32"/>
        <w:szCs w:val="32"/>
      </w:rPr>
      <w:pict>
        <v:rect id="_x0000_i1025" o:spt="1" style="height:1.5pt;width:415.3pt;" fillcolor="#0070C0" filled="t" stroked="f" coordsize="21600,21600" o:hr="t" o:hrstd="t" o:hrnoshade="t" o:hralign="center">
          <v:path/>
          <v:fill on="t" focussize="0,0"/>
          <v:stroke on="f"/>
          <v:imagedata o:title=""/>
          <o:lock v:ext="edit"/>
          <w10:wrap type="none"/>
          <w10:anchorlock/>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pBdr>
        <w:bottom w:val="none" w:color="auto" w:sz="0" w:space="6"/>
      </w:pBdr>
      <w:kinsoku/>
      <w:wordWrap/>
      <w:overflowPunct/>
      <w:topLinePunct w:val="0"/>
      <w:bidi w:val="0"/>
      <w:adjustRightInd/>
      <w:snapToGrid w:val="0"/>
      <w:spacing w:line="400" w:lineRule="exact"/>
      <w:jc w:val="left"/>
      <w:textAlignment w:val="center"/>
      <w:rPr>
        <w:rFonts w:ascii="宋体" w:hAnsi="宋体" w:cs="宋体"/>
        <w:b/>
        <w:bCs/>
        <w:color w:val="005192"/>
        <w:sz w:val="32"/>
        <w:szCs w:val="32"/>
      </w:rPr>
    </w:pPr>
    <w:r>
      <w:rPr>
        <w:rFonts w:ascii="宋体" w:hAnsi="宋体" w:cs="宋体"/>
        <w:b/>
        <w:color w:val="005192"/>
        <w:sz w:val="32"/>
      </w:rPr>
      <w:drawing>
        <wp:inline distT="0" distB="0" distL="114300" distR="114300">
          <wp:extent cx="273685" cy="273685"/>
          <wp:effectExtent l="0" t="0" r="635" b="635"/>
          <wp:docPr id="1" name="图片 9"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C:/Users/ASUS/Desktop/图片1.png图片1"/>
                  <pic:cNvPicPr>
                    <a:picLocks noChangeAspect="1"/>
                  </pic:cNvPicPr>
                </pic:nvPicPr>
                <pic:blipFill>
                  <a:blip r:embed="rId1"/>
                  <a:srcRect t="4440" b="4440"/>
                  <a:stretch>
                    <a:fillRect/>
                  </a:stretch>
                </pic:blipFill>
                <pic:spPr>
                  <a:xfrm>
                    <a:off x="0" y="0"/>
                    <a:ext cx="273685" cy="273685"/>
                  </a:xfrm>
                  <a:prstGeom prst="rect">
                    <a:avLst/>
                  </a:prstGeom>
                  <a:noFill/>
                  <a:ln>
                    <a:noFill/>
                  </a:ln>
                </pic:spPr>
              </pic:pic>
            </a:graphicData>
          </a:graphic>
        </wp:inline>
      </w:drawing>
    </w:r>
    <w:r>
      <w:rPr>
        <w:rFonts w:hint="eastAsia" w:ascii="宋体" w:hAnsi="宋体" w:cs="宋体"/>
        <w:b/>
        <w:bCs/>
        <w:color w:val="005192"/>
        <w:sz w:val="32"/>
        <w:szCs w:val="32"/>
      </w:rPr>
      <w:t>云南省商务厅</w:t>
    </w:r>
    <w:r>
      <w:rPr>
        <w:rFonts w:hint="eastAsia" w:ascii="宋体" w:hAnsi="宋体" w:cs="宋体"/>
        <w:b/>
        <w:bCs/>
        <w:color w:val="005192"/>
        <w:sz w:val="32"/>
        <w:szCs w:val="32"/>
        <w:lang w:val="en-US" w:eastAsia="zh-CN"/>
      </w:rPr>
      <w:t>行政</w:t>
    </w:r>
    <w:r>
      <w:rPr>
        <w:rFonts w:hint="eastAsia" w:ascii="宋体" w:hAnsi="宋体" w:cs="宋体"/>
        <w:b/>
        <w:bCs/>
        <w:color w:val="005192"/>
        <w:sz w:val="32"/>
        <w:szCs w:val="32"/>
      </w:rPr>
      <w:t>规范性文件</w:t>
    </w:r>
  </w:p>
  <w:p>
    <w:pPr>
      <w:pStyle w:val="5"/>
      <w:keepNext w:val="0"/>
      <w:keepLines w:val="0"/>
      <w:pageBreakBefore w:val="0"/>
      <w:widowControl w:val="0"/>
      <w:pBdr>
        <w:bottom w:val="none" w:color="auto" w:sz="0" w:space="6"/>
      </w:pBdr>
      <w:kinsoku/>
      <w:wordWrap/>
      <w:overflowPunct/>
      <w:topLinePunct w:val="0"/>
      <w:bidi w:val="0"/>
      <w:adjustRightInd/>
      <w:snapToGrid w:val="0"/>
      <w:spacing w:line="400" w:lineRule="exact"/>
      <w:jc w:val="left"/>
      <w:textAlignment w:val="center"/>
      <w:rPr>
        <w:rFonts w:hint="eastAsia" w:ascii="宋体" w:hAnsi="宋体" w:cs="宋体"/>
        <w:b/>
        <w:bCs/>
        <w:color w:val="005192"/>
        <w:sz w:val="32"/>
        <w:szCs w:val="32"/>
      </w:rPr>
    </w:pPr>
    <w:r>
      <w:rPr>
        <w:rFonts w:hint="eastAsia" w:ascii="宋体" w:hAnsi="宋体" w:cs="宋体"/>
        <w:b/>
        <w:bCs/>
        <w:color w:val="005192"/>
        <w:sz w:val="32"/>
        <w:szCs w:val="32"/>
      </w:rPr>
      <w:pict>
        <v:rect id="_x0000_i1027" o:spt="1" style="height:1.5pt;width:415.3pt;" fillcolor="#0070C0" filled="t" stroked="f" coordsize="21600,21600" o:hr="t" o:hrstd="t" o:hrnoshade="t" o:hralign="center">
          <v:path/>
          <v:fill on="t" focussize="0,0"/>
          <v:stroke on="f"/>
          <v:imagedata o:title=""/>
          <o:lock v:ext="edit"/>
          <w10:wrap type="none"/>
          <w10:anchorlock/>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A8ABE"/>
    <w:multiLevelType w:val="singleLevel"/>
    <w:tmpl w:val="FFFA8ABE"/>
    <w:lvl w:ilvl="0" w:tentative="0">
      <w:start w:val="1"/>
      <w:numFmt w:val="decimal"/>
      <w:suff w:val="space"/>
      <w:lvlText w:val="%1."/>
      <w:lvlJc w:val="left"/>
    </w:lvl>
  </w:abstractNum>
  <w:abstractNum w:abstractNumId="1">
    <w:nsid w:val="69897324"/>
    <w:multiLevelType w:val="multilevel"/>
    <w:tmpl w:val="69897324"/>
    <w:lvl w:ilvl="0" w:tentative="0">
      <w:start w:val="1"/>
      <w:numFmt w:val="japaneseCounting"/>
      <w:lvlText w:val="第%1章"/>
      <w:lvlJc w:val="left"/>
      <w:pPr>
        <w:ind w:left="1275" w:hanging="12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0011BCC"/>
    <w:rsid w:val="00016B68"/>
    <w:rsid w:val="0002201F"/>
    <w:rsid w:val="00022EB2"/>
    <w:rsid w:val="00035EBC"/>
    <w:rsid w:val="0004299A"/>
    <w:rsid w:val="000716AD"/>
    <w:rsid w:val="00074D18"/>
    <w:rsid w:val="000855A4"/>
    <w:rsid w:val="0009379E"/>
    <w:rsid w:val="000964C1"/>
    <w:rsid w:val="000968C5"/>
    <w:rsid w:val="000A39F4"/>
    <w:rsid w:val="000E4EF7"/>
    <w:rsid w:val="00101B83"/>
    <w:rsid w:val="00117616"/>
    <w:rsid w:val="001239F8"/>
    <w:rsid w:val="00150437"/>
    <w:rsid w:val="00152AC8"/>
    <w:rsid w:val="0015613D"/>
    <w:rsid w:val="00156333"/>
    <w:rsid w:val="00166F79"/>
    <w:rsid w:val="00177C50"/>
    <w:rsid w:val="001808F2"/>
    <w:rsid w:val="001906F5"/>
    <w:rsid w:val="00193BB7"/>
    <w:rsid w:val="00196DC1"/>
    <w:rsid w:val="001A122E"/>
    <w:rsid w:val="001A4590"/>
    <w:rsid w:val="001A5093"/>
    <w:rsid w:val="001C0004"/>
    <w:rsid w:val="001D5949"/>
    <w:rsid w:val="001F2C52"/>
    <w:rsid w:val="001F753F"/>
    <w:rsid w:val="00200ACF"/>
    <w:rsid w:val="00207642"/>
    <w:rsid w:val="00221F5F"/>
    <w:rsid w:val="002229FF"/>
    <w:rsid w:val="00245A3F"/>
    <w:rsid w:val="00247103"/>
    <w:rsid w:val="00262B45"/>
    <w:rsid w:val="00270AFF"/>
    <w:rsid w:val="00271D33"/>
    <w:rsid w:val="00276A60"/>
    <w:rsid w:val="00276F3F"/>
    <w:rsid w:val="00290C1D"/>
    <w:rsid w:val="002922B1"/>
    <w:rsid w:val="0029400D"/>
    <w:rsid w:val="002967A7"/>
    <w:rsid w:val="002A7F98"/>
    <w:rsid w:val="002C6027"/>
    <w:rsid w:val="002F004F"/>
    <w:rsid w:val="00315AAC"/>
    <w:rsid w:val="00316898"/>
    <w:rsid w:val="003223FB"/>
    <w:rsid w:val="00326D14"/>
    <w:rsid w:val="00327D46"/>
    <w:rsid w:val="00331A1A"/>
    <w:rsid w:val="003511CF"/>
    <w:rsid w:val="00354C97"/>
    <w:rsid w:val="00356662"/>
    <w:rsid w:val="00377EB5"/>
    <w:rsid w:val="00384A78"/>
    <w:rsid w:val="00390DFA"/>
    <w:rsid w:val="0039185E"/>
    <w:rsid w:val="003A70CB"/>
    <w:rsid w:val="003B3A78"/>
    <w:rsid w:val="003B4EFA"/>
    <w:rsid w:val="003B58CB"/>
    <w:rsid w:val="003B7AD8"/>
    <w:rsid w:val="003C775B"/>
    <w:rsid w:val="003D16FE"/>
    <w:rsid w:val="003D2AD9"/>
    <w:rsid w:val="003D39A8"/>
    <w:rsid w:val="003D7262"/>
    <w:rsid w:val="003E04C6"/>
    <w:rsid w:val="004027DE"/>
    <w:rsid w:val="004066E2"/>
    <w:rsid w:val="004149E4"/>
    <w:rsid w:val="0041542F"/>
    <w:rsid w:val="00415823"/>
    <w:rsid w:val="00434878"/>
    <w:rsid w:val="0044348A"/>
    <w:rsid w:val="00450C18"/>
    <w:rsid w:val="00452FCF"/>
    <w:rsid w:val="00467B73"/>
    <w:rsid w:val="00470527"/>
    <w:rsid w:val="0048201D"/>
    <w:rsid w:val="00483EF6"/>
    <w:rsid w:val="004932F5"/>
    <w:rsid w:val="00494824"/>
    <w:rsid w:val="0049784F"/>
    <w:rsid w:val="004A7EC8"/>
    <w:rsid w:val="004A7EF4"/>
    <w:rsid w:val="004C3046"/>
    <w:rsid w:val="004C4D88"/>
    <w:rsid w:val="004D484D"/>
    <w:rsid w:val="004D6285"/>
    <w:rsid w:val="004E1173"/>
    <w:rsid w:val="004E59B8"/>
    <w:rsid w:val="004E7BD2"/>
    <w:rsid w:val="00502AF3"/>
    <w:rsid w:val="0050602C"/>
    <w:rsid w:val="00525C4B"/>
    <w:rsid w:val="0053233D"/>
    <w:rsid w:val="00542501"/>
    <w:rsid w:val="00544AC3"/>
    <w:rsid w:val="00555C0D"/>
    <w:rsid w:val="00556CB9"/>
    <w:rsid w:val="00557F1E"/>
    <w:rsid w:val="00560079"/>
    <w:rsid w:val="00561150"/>
    <w:rsid w:val="00570E19"/>
    <w:rsid w:val="00570F24"/>
    <w:rsid w:val="00571E9B"/>
    <w:rsid w:val="00573AD5"/>
    <w:rsid w:val="005759BD"/>
    <w:rsid w:val="00587477"/>
    <w:rsid w:val="00592A81"/>
    <w:rsid w:val="005960B4"/>
    <w:rsid w:val="005A5B86"/>
    <w:rsid w:val="005A71FA"/>
    <w:rsid w:val="005B1079"/>
    <w:rsid w:val="005B48EF"/>
    <w:rsid w:val="005D088B"/>
    <w:rsid w:val="005D2B2D"/>
    <w:rsid w:val="005D7380"/>
    <w:rsid w:val="005E4E1B"/>
    <w:rsid w:val="005F580B"/>
    <w:rsid w:val="005F752F"/>
    <w:rsid w:val="0061626E"/>
    <w:rsid w:val="006207D2"/>
    <w:rsid w:val="006306CE"/>
    <w:rsid w:val="006309F0"/>
    <w:rsid w:val="006321E5"/>
    <w:rsid w:val="0063622B"/>
    <w:rsid w:val="00637761"/>
    <w:rsid w:val="006601FE"/>
    <w:rsid w:val="00665AB0"/>
    <w:rsid w:val="006809B7"/>
    <w:rsid w:val="00682553"/>
    <w:rsid w:val="00687DFE"/>
    <w:rsid w:val="006968A0"/>
    <w:rsid w:val="006C1EDD"/>
    <w:rsid w:val="006C6833"/>
    <w:rsid w:val="006C79EC"/>
    <w:rsid w:val="006E0C2E"/>
    <w:rsid w:val="006E5F52"/>
    <w:rsid w:val="00712197"/>
    <w:rsid w:val="007127D2"/>
    <w:rsid w:val="00721DDD"/>
    <w:rsid w:val="00731A5D"/>
    <w:rsid w:val="0076667B"/>
    <w:rsid w:val="00766EDE"/>
    <w:rsid w:val="00775739"/>
    <w:rsid w:val="007770DD"/>
    <w:rsid w:val="00782390"/>
    <w:rsid w:val="007872C1"/>
    <w:rsid w:val="007917E3"/>
    <w:rsid w:val="007A17DD"/>
    <w:rsid w:val="007B79F2"/>
    <w:rsid w:val="007C7CB6"/>
    <w:rsid w:val="007D18BB"/>
    <w:rsid w:val="007D3797"/>
    <w:rsid w:val="007F38CE"/>
    <w:rsid w:val="007F52C0"/>
    <w:rsid w:val="007F7EC8"/>
    <w:rsid w:val="00811C28"/>
    <w:rsid w:val="00815857"/>
    <w:rsid w:val="00816912"/>
    <w:rsid w:val="00817FB9"/>
    <w:rsid w:val="00830A2B"/>
    <w:rsid w:val="00835E5B"/>
    <w:rsid w:val="008361B5"/>
    <w:rsid w:val="0085095A"/>
    <w:rsid w:val="00854B1A"/>
    <w:rsid w:val="00857151"/>
    <w:rsid w:val="00871A9A"/>
    <w:rsid w:val="00874823"/>
    <w:rsid w:val="00884CE0"/>
    <w:rsid w:val="00892A18"/>
    <w:rsid w:val="00892CCE"/>
    <w:rsid w:val="00892DFD"/>
    <w:rsid w:val="008A0D7A"/>
    <w:rsid w:val="008A5B5D"/>
    <w:rsid w:val="008A67BF"/>
    <w:rsid w:val="008C26F5"/>
    <w:rsid w:val="008C571D"/>
    <w:rsid w:val="008D1724"/>
    <w:rsid w:val="008D1F21"/>
    <w:rsid w:val="008D4C39"/>
    <w:rsid w:val="008E3EDC"/>
    <w:rsid w:val="008F5DEC"/>
    <w:rsid w:val="00922577"/>
    <w:rsid w:val="00925459"/>
    <w:rsid w:val="00931300"/>
    <w:rsid w:val="009346A0"/>
    <w:rsid w:val="00976888"/>
    <w:rsid w:val="009A1706"/>
    <w:rsid w:val="009A2F61"/>
    <w:rsid w:val="009A5031"/>
    <w:rsid w:val="009C00F7"/>
    <w:rsid w:val="009C6F7F"/>
    <w:rsid w:val="009D0F46"/>
    <w:rsid w:val="009D4EBB"/>
    <w:rsid w:val="009E5F5B"/>
    <w:rsid w:val="009E7084"/>
    <w:rsid w:val="00A13F57"/>
    <w:rsid w:val="00A14EB7"/>
    <w:rsid w:val="00A277BE"/>
    <w:rsid w:val="00A3124D"/>
    <w:rsid w:val="00A35DDD"/>
    <w:rsid w:val="00A417AF"/>
    <w:rsid w:val="00A41B6D"/>
    <w:rsid w:val="00A44A90"/>
    <w:rsid w:val="00A606EE"/>
    <w:rsid w:val="00A63CD2"/>
    <w:rsid w:val="00AE0FC3"/>
    <w:rsid w:val="00AE1015"/>
    <w:rsid w:val="00AE6687"/>
    <w:rsid w:val="00AF703F"/>
    <w:rsid w:val="00B00456"/>
    <w:rsid w:val="00B02D7B"/>
    <w:rsid w:val="00B05FD4"/>
    <w:rsid w:val="00B1107D"/>
    <w:rsid w:val="00B11873"/>
    <w:rsid w:val="00B14888"/>
    <w:rsid w:val="00B14D11"/>
    <w:rsid w:val="00B2721A"/>
    <w:rsid w:val="00B3278F"/>
    <w:rsid w:val="00B37098"/>
    <w:rsid w:val="00B62320"/>
    <w:rsid w:val="00B72A26"/>
    <w:rsid w:val="00B8532F"/>
    <w:rsid w:val="00B95039"/>
    <w:rsid w:val="00BB5C62"/>
    <w:rsid w:val="00BC2548"/>
    <w:rsid w:val="00BC321D"/>
    <w:rsid w:val="00BD3EA8"/>
    <w:rsid w:val="00BE5C2F"/>
    <w:rsid w:val="00BF11E2"/>
    <w:rsid w:val="00C018BA"/>
    <w:rsid w:val="00C22CA8"/>
    <w:rsid w:val="00C400C8"/>
    <w:rsid w:val="00C423DE"/>
    <w:rsid w:val="00C44C37"/>
    <w:rsid w:val="00C55F78"/>
    <w:rsid w:val="00C5648A"/>
    <w:rsid w:val="00C7119B"/>
    <w:rsid w:val="00C807D0"/>
    <w:rsid w:val="00C82587"/>
    <w:rsid w:val="00C95EFD"/>
    <w:rsid w:val="00CA0AEF"/>
    <w:rsid w:val="00CA56BA"/>
    <w:rsid w:val="00CA643B"/>
    <w:rsid w:val="00CC24A5"/>
    <w:rsid w:val="00CC2685"/>
    <w:rsid w:val="00CC3855"/>
    <w:rsid w:val="00CD0A57"/>
    <w:rsid w:val="00D0127E"/>
    <w:rsid w:val="00D02338"/>
    <w:rsid w:val="00D073D6"/>
    <w:rsid w:val="00D2097A"/>
    <w:rsid w:val="00D26D41"/>
    <w:rsid w:val="00D340D1"/>
    <w:rsid w:val="00D4338F"/>
    <w:rsid w:val="00D43D7A"/>
    <w:rsid w:val="00D50572"/>
    <w:rsid w:val="00D5326A"/>
    <w:rsid w:val="00D57346"/>
    <w:rsid w:val="00D64DFD"/>
    <w:rsid w:val="00D67D8D"/>
    <w:rsid w:val="00D858F8"/>
    <w:rsid w:val="00D90006"/>
    <w:rsid w:val="00DA61BD"/>
    <w:rsid w:val="00DB0465"/>
    <w:rsid w:val="00DB52F7"/>
    <w:rsid w:val="00DC5E76"/>
    <w:rsid w:val="00DE1504"/>
    <w:rsid w:val="00DF5563"/>
    <w:rsid w:val="00E00F87"/>
    <w:rsid w:val="00E02CF1"/>
    <w:rsid w:val="00E07ED3"/>
    <w:rsid w:val="00E1342D"/>
    <w:rsid w:val="00E33EE5"/>
    <w:rsid w:val="00E4163A"/>
    <w:rsid w:val="00E508EE"/>
    <w:rsid w:val="00E541FA"/>
    <w:rsid w:val="00E56276"/>
    <w:rsid w:val="00E640FA"/>
    <w:rsid w:val="00E82FE6"/>
    <w:rsid w:val="00E877A9"/>
    <w:rsid w:val="00E91776"/>
    <w:rsid w:val="00E92CFA"/>
    <w:rsid w:val="00EA08D0"/>
    <w:rsid w:val="00EA1412"/>
    <w:rsid w:val="00EA26BC"/>
    <w:rsid w:val="00EB4F4C"/>
    <w:rsid w:val="00EC1D5F"/>
    <w:rsid w:val="00EC38C9"/>
    <w:rsid w:val="00EC7922"/>
    <w:rsid w:val="00EE3696"/>
    <w:rsid w:val="00EE4E4C"/>
    <w:rsid w:val="00EE5BFD"/>
    <w:rsid w:val="00EF6418"/>
    <w:rsid w:val="00F010DD"/>
    <w:rsid w:val="00F06662"/>
    <w:rsid w:val="00F07EBD"/>
    <w:rsid w:val="00F15CF2"/>
    <w:rsid w:val="00F33E55"/>
    <w:rsid w:val="00F35177"/>
    <w:rsid w:val="00F54AE6"/>
    <w:rsid w:val="00F6218D"/>
    <w:rsid w:val="00F64C40"/>
    <w:rsid w:val="00F6607C"/>
    <w:rsid w:val="00F67C1F"/>
    <w:rsid w:val="00F72FA3"/>
    <w:rsid w:val="00F77B9D"/>
    <w:rsid w:val="00F77D2A"/>
    <w:rsid w:val="00F82DD3"/>
    <w:rsid w:val="00F93B9D"/>
    <w:rsid w:val="00FB1607"/>
    <w:rsid w:val="00FC2C80"/>
    <w:rsid w:val="00FC4B72"/>
    <w:rsid w:val="023C2314"/>
    <w:rsid w:val="036D4358"/>
    <w:rsid w:val="038631D7"/>
    <w:rsid w:val="03EB50FA"/>
    <w:rsid w:val="05197D6A"/>
    <w:rsid w:val="05513747"/>
    <w:rsid w:val="0568168F"/>
    <w:rsid w:val="060606B7"/>
    <w:rsid w:val="065345EF"/>
    <w:rsid w:val="066941A3"/>
    <w:rsid w:val="07F7141C"/>
    <w:rsid w:val="086A71DD"/>
    <w:rsid w:val="08B73A59"/>
    <w:rsid w:val="09712E53"/>
    <w:rsid w:val="098052C2"/>
    <w:rsid w:val="0D834936"/>
    <w:rsid w:val="0DD71E42"/>
    <w:rsid w:val="0ED34A3C"/>
    <w:rsid w:val="0F966920"/>
    <w:rsid w:val="0FDF4796"/>
    <w:rsid w:val="0FF17F33"/>
    <w:rsid w:val="106332FD"/>
    <w:rsid w:val="117748B7"/>
    <w:rsid w:val="11CA68BF"/>
    <w:rsid w:val="12FF68E4"/>
    <w:rsid w:val="130B4CCD"/>
    <w:rsid w:val="14FB4178"/>
    <w:rsid w:val="154D2A40"/>
    <w:rsid w:val="155A77A4"/>
    <w:rsid w:val="15A70F88"/>
    <w:rsid w:val="16492F7D"/>
    <w:rsid w:val="19290EEB"/>
    <w:rsid w:val="192F7045"/>
    <w:rsid w:val="197B1F18"/>
    <w:rsid w:val="199A1603"/>
    <w:rsid w:val="1A3C355B"/>
    <w:rsid w:val="1B395E1A"/>
    <w:rsid w:val="1BD937BC"/>
    <w:rsid w:val="1C3E47E5"/>
    <w:rsid w:val="1C822313"/>
    <w:rsid w:val="1D3E4D19"/>
    <w:rsid w:val="1DA453B1"/>
    <w:rsid w:val="1F5F5687"/>
    <w:rsid w:val="1FAC20EC"/>
    <w:rsid w:val="21525C17"/>
    <w:rsid w:val="21602562"/>
    <w:rsid w:val="21895FC4"/>
    <w:rsid w:val="22197CD5"/>
    <w:rsid w:val="22981651"/>
    <w:rsid w:val="22C56FC3"/>
    <w:rsid w:val="23032D96"/>
    <w:rsid w:val="235A5D88"/>
    <w:rsid w:val="23AC1197"/>
    <w:rsid w:val="26AF3D05"/>
    <w:rsid w:val="26EB4360"/>
    <w:rsid w:val="277D5657"/>
    <w:rsid w:val="29035BF9"/>
    <w:rsid w:val="29334D29"/>
    <w:rsid w:val="29510367"/>
    <w:rsid w:val="2ACC37C5"/>
    <w:rsid w:val="2B555CA8"/>
    <w:rsid w:val="2C5A0FA4"/>
    <w:rsid w:val="2CD8065B"/>
    <w:rsid w:val="2D40662A"/>
    <w:rsid w:val="2D9A6769"/>
    <w:rsid w:val="2DD072B5"/>
    <w:rsid w:val="2DEF1A60"/>
    <w:rsid w:val="2DFE2383"/>
    <w:rsid w:val="2E9637FB"/>
    <w:rsid w:val="2F2F1003"/>
    <w:rsid w:val="31E05D13"/>
    <w:rsid w:val="32134DB6"/>
    <w:rsid w:val="32331A68"/>
    <w:rsid w:val="32A27B1D"/>
    <w:rsid w:val="33C71E7E"/>
    <w:rsid w:val="33E32953"/>
    <w:rsid w:val="35586D92"/>
    <w:rsid w:val="35764143"/>
    <w:rsid w:val="3622425C"/>
    <w:rsid w:val="38A72841"/>
    <w:rsid w:val="38C30142"/>
    <w:rsid w:val="392D67DD"/>
    <w:rsid w:val="3AB42A96"/>
    <w:rsid w:val="3BA548E8"/>
    <w:rsid w:val="3BD479B6"/>
    <w:rsid w:val="3BF63C9F"/>
    <w:rsid w:val="3BF783A6"/>
    <w:rsid w:val="3D595233"/>
    <w:rsid w:val="3DBE4F57"/>
    <w:rsid w:val="3DFC42F9"/>
    <w:rsid w:val="3E0A100D"/>
    <w:rsid w:val="3E4E4F76"/>
    <w:rsid w:val="3E6B4177"/>
    <w:rsid w:val="3F1E659C"/>
    <w:rsid w:val="3F73EABE"/>
    <w:rsid w:val="3FEA473B"/>
    <w:rsid w:val="3FF7607F"/>
    <w:rsid w:val="40670739"/>
    <w:rsid w:val="4120224D"/>
    <w:rsid w:val="42D25330"/>
    <w:rsid w:val="43661FA0"/>
    <w:rsid w:val="438D7C61"/>
    <w:rsid w:val="43996E55"/>
    <w:rsid w:val="440F4D37"/>
    <w:rsid w:val="454E510E"/>
    <w:rsid w:val="46A72758"/>
    <w:rsid w:val="47C53B4E"/>
    <w:rsid w:val="48D55F0A"/>
    <w:rsid w:val="4AD52453"/>
    <w:rsid w:val="4B346797"/>
    <w:rsid w:val="4B3658F6"/>
    <w:rsid w:val="4C656166"/>
    <w:rsid w:val="4E174303"/>
    <w:rsid w:val="4E6D0ABA"/>
    <w:rsid w:val="4EAC6D0A"/>
    <w:rsid w:val="4F321FE5"/>
    <w:rsid w:val="4F7D08F7"/>
    <w:rsid w:val="4FCFE978"/>
    <w:rsid w:val="50D062C6"/>
    <w:rsid w:val="50EF2D57"/>
    <w:rsid w:val="50FF2FF1"/>
    <w:rsid w:val="52603EB2"/>
    <w:rsid w:val="529D0A10"/>
    <w:rsid w:val="54C573CE"/>
    <w:rsid w:val="55547EAF"/>
    <w:rsid w:val="57447EB8"/>
    <w:rsid w:val="57F71260"/>
    <w:rsid w:val="58381A4A"/>
    <w:rsid w:val="59EE5898"/>
    <w:rsid w:val="5A2537F3"/>
    <w:rsid w:val="5AD2138E"/>
    <w:rsid w:val="5B0A2B6C"/>
    <w:rsid w:val="5B28211D"/>
    <w:rsid w:val="5BAF7A77"/>
    <w:rsid w:val="5BFA4673"/>
    <w:rsid w:val="5CF109B3"/>
    <w:rsid w:val="5DAF3EC5"/>
    <w:rsid w:val="5E7B780C"/>
    <w:rsid w:val="5E9773B6"/>
    <w:rsid w:val="60F30D47"/>
    <w:rsid w:val="61631573"/>
    <w:rsid w:val="62074C63"/>
    <w:rsid w:val="62D07C60"/>
    <w:rsid w:val="63A71F08"/>
    <w:rsid w:val="63FF4D9E"/>
    <w:rsid w:val="645B3E33"/>
    <w:rsid w:val="64C847E7"/>
    <w:rsid w:val="65FF6A62"/>
    <w:rsid w:val="660038B1"/>
    <w:rsid w:val="66F01399"/>
    <w:rsid w:val="677521E5"/>
    <w:rsid w:val="67DF9081"/>
    <w:rsid w:val="67E37601"/>
    <w:rsid w:val="67EB2D8A"/>
    <w:rsid w:val="68AE634B"/>
    <w:rsid w:val="69732C11"/>
    <w:rsid w:val="697D3521"/>
    <w:rsid w:val="6A1862EE"/>
    <w:rsid w:val="6B1D3668"/>
    <w:rsid w:val="6CBC777D"/>
    <w:rsid w:val="6CFE56E1"/>
    <w:rsid w:val="6D491F05"/>
    <w:rsid w:val="6FC935F6"/>
    <w:rsid w:val="70E85C4B"/>
    <w:rsid w:val="72866971"/>
    <w:rsid w:val="72946F8C"/>
    <w:rsid w:val="72DA05FA"/>
    <w:rsid w:val="73FF13ED"/>
    <w:rsid w:val="743F6FC7"/>
    <w:rsid w:val="76F16531"/>
    <w:rsid w:val="772D2B12"/>
    <w:rsid w:val="779437BB"/>
    <w:rsid w:val="77A359E5"/>
    <w:rsid w:val="77BF920F"/>
    <w:rsid w:val="77CC2A1C"/>
    <w:rsid w:val="77FF74E1"/>
    <w:rsid w:val="78461060"/>
    <w:rsid w:val="785E6707"/>
    <w:rsid w:val="79884EF0"/>
    <w:rsid w:val="7BBE2911"/>
    <w:rsid w:val="7C62341F"/>
    <w:rsid w:val="7CDFA0CF"/>
    <w:rsid w:val="7CEFC0E0"/>
    <w:rsid w:val="7D350036"/>
    <w:rsid w:val="7D932033"/>
    <w:rsid w:val="7DD97789"/>
    <w:rsid w:val="7E110425"/>
    <w:rsid w:val="7EB23BE8"/>
    <w:rsid w:val="7F677B3F"/>
    <w:rsid w:val="7F7EFB90"/>
    <w:rsid w:val="7FB52573"/>
    <w:rsid w:val="7FC17C22"/>
    <w:rsid w:val="7FE06570"/>
    <w:rsid w:val="7FFE940B"/>
    <w:rsid w:val="9E5E2958"/>
    <w:rsid w:val="9F5F82AD"/>
    <w:rsid w:val="B6FEAE2A"/>
    <w:rsid w:val="BFDB0929"/>
    <w:rsid w:val="DBBAB01A"/>
    <w:rsid w:val="DF97F0E4"/>
    <w:rsid w:val="F0FBA154"/>
    <w:rsid w:val="F6DFAD5D"/>
    <w:rsid w:val="F7BA1330"/>
    <w:rsid w:val="F7C90449"/>
    <w:rsid w:val="FD5B5BF8"/>
    <w:rsid w:val="FD5F56B7"/>
    <w:rsid w:val="FDE7B602"/>
    <w:rsid w:val="FEFF6A88"/>
    <w:rsid w:val="FFFD6398"/>
    <w:rsid w:val="FFFD78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uiPriority w:val="0"/>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annotation text"/>
    <w:basedOn w:val="1"/>
    <w:link w:val="13"/>
    <w:autoRedefine/>
    <w:qFormat/>
    <w:uiPriority w:val="0"/>
    <w:pPr>
      <w:jc w:val="left"/>
    </w:pPr>
    <w:rPr>
      <w:rFonts w:ascii="Calibri" w:hAnsi="Calibri" w:eastAsia="宋体" w:cs="Times New Roman"/>
      <w:szCs w:val="24"/>
    </w:rPr>
  </w:style>
  <w:style w:type="paragraph" w:styleId="3">
    <w:name w:val="Balloon Text"/>
    <w:basedOn w:val="1"/>
    <w:link w:val="14"/>
    <w:unhideWhenUsed/>
    <w:uiPriority w:val="99"/>
    <w:rPr>
      <w:sz w:val="18"/>
      <w:szCs w:val="18"/>
    </w:rPr>
  </w:style>
  <w:style w:type="paragraph" w:styleId="4">
    <w:name w:val="footer"/>
    <w:basedOn w:val="1"/>
    <w:link w:val="15"/>
    <w:autoRedefine/>
    <w:qFormat/>
    <w:uiPriority w:val="99"/>
    <w:pPr>
      <w:tabs>
        <w:tab w:val="center" w:pos="4153"/>
        <w:tab w:val="right" w:pos="8306"/>
      </w:tabs>
      <w:snapToGrid w:val="0"/>
      <w:jc w:val="left"/>
    </w:pPr>
    <w:rPr>
      <w:sz w:val="18"/>
    </w:rPr>
  </w:style>
  <w:style w:type="paragraph" w:styleId="5">
    <w:name w:val="header"/>
    <w:basedOn w:val="1"/>
    <w:link w:val="16"/>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unhideWhenUsed/>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SA"/>
    </w:rPr>
  </w:style>
  <w:style w:type="table" w:styleId="8">
    <w:name w:val="Table Grid"/>
    <w:basedOn w:val="7"/>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unhideWhenUsed/>
    <w:uiPriority w:val="99"/>
  </w:style>
  <w:style w:type="character" w:styleId="11">
    <w:name w:val="FollowedHyperlink"/>
    <w:unhideWhenUsed/>
    <w:uiPriority w:val="99"/>
    <w:rPr>
      <w:color w:val="555555"/>
      <w:u w:val="none"/>
    </w:rPr>
  </w:style>
  <w:style w:type="character" w:styleId="12">
    <w:name w:val="Hyperlink"/>
    <w:unhideWhenUsed/>
    <w:uiPriority w:val="99"/>
    <w:rPr>
      <w:color w:val="555555"/>
      <w:u w:val="none"/>
    </w:rPr>
  </w:style>
  <w:style w:type="character" w:customStyle="1" w:styleId="13">
    <w:name w:val="批注文字 字符"/>
    <w:link w:val="2"/>
    <w:uiPriority w:val="0"/>
    <w:rPr>
      <w:kern w:val="2"/>
      <w:sz w:val="21"/>
      <w:szCs w:val="24"/>
    </w:rPr>
  </w:style>
  <w:style w:type="character" w:customStyle="1" w:styleId="14">
    <w:name w:val="批注框文本 字符"/>
    <w:link w:val="3"/>
    <w:semiHidden/>
    <w:uiPriority w:val="99"/>
    <w:rPr>
      <w:kern w:val="2"/>
      <w:sz w:val="18"/>
      <w:szCs w:val="18"/>
    </w:rPr>
  </w:style>
  <w:style w:type="character" w:customStyle="1" w:styleId="15">
    <w:name w:val="页脚 字符"/>
    <w:link w:val="4"/>
    <w:qFormat/>
    <w:uiPriority w:val="99"/>
    <w:rPr>
      <w:kern w:val="2"/>
      <w:sz w:val="18"/>
    </w:rPr>
  </w:style>
  <w:style w:type="character" w:customStyle="1" w:styleId="16">
    <w:name w:val="页眉 字符"/>
    <w:link w:val="5"/>
    <w:qFormat/>
    <w:uiPriority w:val="99"/>
    <w:rPr>
      <w:kern w:val="2"/>
      <w:sz w:val="18"/>
    </w:rPr>
  </w:style>
  <w:style w:type="character" w:customStyle="1" w:styleId="17">
    <w:name w:val="moduletitle_menuitemsel"/>
    <w:uiPriority w:val="0"/>
    <w:rPr>
      <w:rFonts w:ascii="Tahoma" w:hAnsi="Tahoma" w:eastAsia="Tahoma" w:cs="Tahoma"/>
      <w:b/>
      <w:color w:val="000000"/>
      <w:sz w:val="18"/>
      <w:szCs w:val="18"/>
    </w:rPr>
  </w:style>
  <w:style w:type="character" w:customStyle="1" w:styleId="18">
    <w:name w:val="language"/>
    <w:autoRedefine/>
    <w:qFormat/>
    <w:uiPriority w:val="0"/>
  </w:style>
  <w:style w:type="paragraph" w:customStyle="1" w:styleId="19">
    <w:name w:val="_Style 18"/>
    <w:basedOn w:val="1"/>
    <w:next w:val="1"/>
    <w:uiPriority w:val="0"/>
    <w:pPr>
      <w:pBdr>
        <w:bottom w:val="single" w:color="auto" w:sz="6" w:space="1"/>
      </w:pBdr>
      <w:jc w:val="center"/>
    </w:pPr>
    <w:rPr>
      <w:rFonts w:ascii="Arial" w:eastAsia="宋体"/>
      <w:vanish/>
      <w:sz w:val="16"/>
    </w:rPr>
  </w:style>
  <w:style w:type="paragraph" w:customStyle="1" w:styleId="20">
    <w:name w:val="_Style 19"/>
    <w:basedOn w:val="1"/>
    <w:next w:val="1"/>
    <w:uiPriority w:val="0"/>
    <w:pPr>
      <w:pBdr>
        <w:top w:val="single" w:color="auto" w:sz="6" w:space="1"/>
      </w:pBdr>
      <w:jc w:val="center"/>
    </w:pPr>
    <w:rPr>
      <w:rFonts w:ascii="Arial" w:eastAsia="宋体"/>
      <w:vanish/>
      <w:sz w:val="16"/>
    </w:rPr>
  </w:style>
  <w:style w:type="paragraph" w:customStyle="1" w:styleId="21">
    <w:name w:val="首行缩进:  2 字符 + 首行缩进:  2 字符"/>
    <w:basedOn w:val="1"/>
    <w:autoRedefine/>
    <w:qFormat/>
    <w:uiPriority w:val="99"/>
    <w:pPr>
      <w:ind w:firstLine="560" w:firstLineChars="200"/>
    </w:pPr>
    <w:rPr>
      <w:rFonts w:eastAsia="仿宋_GB2312"/>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14</Pages>
  <Words>630</Words>
  <Characters>3592</Characters>
  <Lines>29</Lines>
  <Paragraphs>8</Paragraphs>
  <TotalTime>11</TotalTime>
  <ScaleCrop>false</ScaleCrop>
  <LinksUpToDate>false</LinksUpToDate>
  <CharactersWithSpaces>4214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2023-04-12T08:51:00Z</dcterms:created>
  <dc:creator>ych</dc:creator>
  <cp:lastModifiedBy>ASUS</cp:lastModifiedBy>
  <cp:lastPrinted>2016-10-03T08:29:00Z</cp:lastPrinted>
  <dcterms:modified xsi:type="dcterms:W3CDTF">2024-03-21T03:53:08Z</dcterms:modified>
  <dc:title>云南省人民政府关于促进服务外包发展的若干意见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E8A906C7F51F4A93B1319A237901F045_13</vt:lpwstr>
  </property>
</Properties>
</file>