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inorEastAsia" w:hAnsiTheme="minorEastAsia" w:cstheme="minorEastAsia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color w:val="auto"/>
        </w:rPr>
      </w:pPr>
      <w:r>
        <w:rPr>
          <w:rFonts w:hint="eastAsia" w:asciiTheme="minorEastAsia" w:hAnsiTheme="minorEastAsia" w:cstheme="minorEastAsia"/>
          <w:color w:val="auto"/>
          <w:sz w:val="44"/>
          <w:szCs w:val="44"/>
        </w:rPr>
        <w:t>云南省服务外包示范区综合评价办法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楷体_GB2312" w:hAnsi="楷体_GB2312" w:eastAsia="楷体_GB2312" w:cs="楷体_GB2312"/>
          <w:color w:val="auto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FFFFFF"/>
        </w:rPr>
        <w:t>(云商规〔2021〕2号 自2021年12月17日起实施</w:t>
      </w:r>
      <w:r>
        <w:rPr>
          <w:rFonts w:ascii="楷体_GB2312" w:hAnsi="楷体_GB2312" w:eastAsia="楷体_GB2312" w:cs="楷体_GB2312"/>
          <w:color w:val="auto"/>
          <w:sz w:val="32"/>
          <w:szCs w:val="32"/>
          <w:shd w:val="clear" w:color="auto" w:fill="FFFFFF"/>
        </w:rPr>
        <w:t>)</w:t>
      </w:r>
    </w:p>
    <w:p>
      <w:pPr>
        <w:jc w:val="center"/>
        <w:rPr>
          <w:rFonts w:ascii="楷体_GB2312" w:hAnsi="楷体_GB2312" w:eastAsia="楷体_GB2312" w:cs="楷体_GB2312"/>
          <w:color w:val="auto"/>
          <w:sz w:val="32"/>
          <w:szCs w:val="32"/>
          <w:shd w:val="clear" w:color="auto" w:fill="FFFFFF"/>
        </w:rPr>
      </w:pPr>
    </w:p>
    <w:p>
      <w:pPr>
        <w:pStyle w:val="11"/>
        <w:numPr>
          <w:ilvl w:val="0"/>
          <w:numId w:val="1"/>
        </w:numPr>
        <w:ind w:firstLineChars="0"/>
        <w:jc w:val="center"/>
        <w:rPr>
          <w:rFonts w:ascii="黑体" w:hAnsi="黑体" w:eastAsia="黑体" w:cs="黑体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>总则</w:t>
      </w:r>
    </w:p>
    <w:p>
      <w:pPr>
        <w:pStyle w:val="11"/>
        <w:ind w:left="1275" w:firstLine="0" w:firstLineChars="0"/>
        <w:rPr>
          <w:rFonts w:ascii="黑体" w:hAnsi="黑体" w:eastAsia="黑体" w:cs="黑体"/>
          <w:color w:val="auto"/>
          <w:sz w:val="32"/>
          <w:szCs w:val="32"/>
          <w:shd w:val="clear" w:color="auto" w:fill="FFFFFF"/>
        </w:rPr>
      </w:pP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 xml:space="preserve">第一条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贯彻落实《云南省人民政府关于促进服务外包产业加快发展的实施意见》（云政发〔2015〕87号）,加强对省级服务外包示范区（示范城市、示范园区、示范基地）的动态管理，更好地发挥示范区在全省服务外包产业发展中的引领带动作用，促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我省服务外包产业健康快速发展，结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合我省服务外包产业实际情况，制定本办法。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 xml:space="preserve">第二条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综合考评遵循客观公正、科学量化、公开透明的原则，综合评价省级服务外包示范区发展运行情况。</w:t>
      </w:r>
    </w:p>
    <w:p>
      <w:pPr>
        <w:jc w:val="center"/>
        <w:rPr>
          <w:rFonts w:ascii="黑体" w:hAnsi="黑体" w:eastAsia="黑体"/>
          <w:color w:val="auto"/>
          <w:sz w:val="32"/>
          <w:szCs w:val="32"/>
        </w:rPr>
      </w:pPr>
    </w:p>
    <w:p>
      <w:pPr>
        <w:jc w:val="center"/>
        <w:rPr>
          <w:rFonts w:ascii="黑体" w:hAnsi="黑体" w:eastAsia="黑体" w:cs="黑体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 xml:space="preserve">第二章 </w:t>
      </w:r>
      <w:r>
        <w:rPr>
          <w:rFonts w:ascii="黑体" w:hAnsi="黑体" w:eastAsia="黑体" w:cs="黑体"/>
          <w:color w:val="auto"/>
          <w:sz w:val="32"/>
          <w:szCs w:val="32"/>
          <w:shd w:val="clear" w:color="auto" w:fill="FFFFFF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>评价对象</w:t>
      </w:r>
    </w:p>
    <w:p>
      <w:pPr>
        <w:pStyle w:val="11"/>
        <w:ind w:left="1275" w:firstLine="0" w:firstLineChars="0"/>
        <w:rPr>
          <w:rFonts w:ascii="黑体" w:hAnsi="黑体" w:eastAsia="黑体"/>
          <w:color w:val="auto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 xml:space="preserve">第三条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本办法评价对象是指根据《云南省服务外包示范区认定管理办法》认定的云南省服务外包示范城市、示范园区、示范基地。</w:t>
      </w:r>
    </w:p>
    <w:p>
      <w:pPr>
        <w:jc w:val="center"/>
        <w:rPr>
          <w:rFonts w:ascii="黑体" w:hAnsi="黑体" w:eastAsia="黑体"/>
          <w:color w:val="auto"/>
          <w:sz w:val="32"/>
          <w:szCs w:val="32"/>
        </w:rPr>
      </w:pPr>
    </w:p>
    <w:p>
      <w:pPr>
        <w:pStyle w:val="11"/>
        <w:numPr>
          <w:ilvl w:val="0"/>
          <w:numId w:val="1"/>
        </w:numPr>
        <w:ind w:firstLineChars="0"/>
        <w:jc w:val="center"/>
        <w:rPr>
          <w:rFonts w:ascii="黑体" w:hAnsi="黑体" w:eastAsia="黑体" w:cs="黑体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>综合评价材料</w:t>
      </w:r>
    </w:p>
    <w:p>
      <w:pPr>
        <w:pStyle w:val="11"/>
        <w:ind w:left="1275" w:firstLine="0" w:firstLineChars="0"/>
        <w:rPr>
          <w:rFonts w:ascii="黑体" w:eastAsia="黑体" w:cs="方正黑体_GBK"/>
          <w:bCs/>
          <w:color w:val="auto"/>
          <w:sz w:val="32"/>
          <w:szCs w:val="32"/>
        </w:rPr>
      </w:pPr>
    </w:p>
    <w:p>
      <w:pPr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 xml:space="preserve">第四条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综合评价材料由示范区所在地商务主管部门负责整理提供。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 xml:space="preserve">第五条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省级服务外包示范城市综合评价材料应包括：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（一）当地商务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主管部门出具的自评报告；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（二）云南省服务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外包示范区综合评价指标体系相关表格；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（三）其他佐证材料。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 xml:space="preserve">第六条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省级服务外包示范园区综合评价材料应包括：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（一）园区管委会出具的自评报告；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（二）云南省服务外包示范区综合评价指标体系相关表格；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（三）其他佐证材料。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eastAsia="黑体" w:cs="方正黑体_GBK"/>
          <w:bCs/>
          <w:color w:val="auto"/>
          <w:sz w:val="32"/>
          <w:szCs w:val="32"/>
        </w:rPr>
        <w:t>第</w:t>
      </w: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 xml:space="preserve">七条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省级服务外包示范基地综合评价材料应包括：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（一）基地出具的自评报告；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（二）云南省服务外包示范区综合评价指标体系相关表格；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（三）其他佐证材料。</w:t>
      </w:r>
    </w:p>
    <w:p>
      <w:pPr>
        <w:rPr>
          <w:rFonts w:ascii="黑体" w:hAnsi="黑体" w:eastAsia="黑体"/>
          <w:color w:val="auto"/>
          <w:sz w:val="32"/>
          <w:szCs w:val="32"/>
        </w:rPr>
      </w:pPr>
    </w:p>
    <w:p>
      <w:pPr>
        <w:pStyle w:val="11"/>
        <w:numPr>
          <w:ilvl w:val="0"/>
          <w:numId w:val="1"/>
        </w:numPr>
        <w:ind w:firstLineChars="0"/>
        <w:jc w:val="center"/>
        <w:rPr>
          <w:rFonts w:ascii="黑体" w:eastAsia="黑体" w:cs="方正黑体_GBK"/>
          <w:bCs/>
          <w:color w:val="auto"/>
          <w:sz w:val="32"/>
          <w:szCs w:val="32"/>
        </w:rPr>
      </w:pPr>
      <w:r>
        <w:rPr>
          <w:rFonts w:hint="eastAsia" w:ascii="黑体" w:eastAsia="黑体" w:cs="方正黑体_GBK"/>
          <w:bCs/>
          <w:color w:val="auto"/>
          <w:sz w:val="32"/>
          <w:szCs w:val="32"/>
        </w:rPr>
        <w:t>综合评价程序</w:t>
      </w:r>
    </w:p>
    <w:p>
      <w:pPr>
        <w:pStyle w:val="11"/>
        <w:ind w:left="1275" w:firstLine="0" w:firstLineChars="0"/>
        <w:rPr>
          <w:rFonts w:ascii="黑体" w:hAnsi="黑体" w:eastAsia="黑体"/>
          <w:color w:val="auto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黑体" w:eastAsia="黑体" w:cs="方正黑体_GBK"/>
          <w:bCs/>
          <w:color w:val="auto"/>
          <w:sz w:val="32"/>
          <w:szCs w:val="32"/>
        </w:rPr>
        <w:t>第八条</w:t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综合评价工作每两年开展一次。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eastAsia="黑体" w:cs="方正黑体_GBK"/>
          <w:bCs/>
          <w:color w:val="auto"/>
          <w:sz w:val="32"/>
          <w:szCs w:val="32"/>
        </w:rPr>
        <w:t>第九条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综合评价依照以下程序进行：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（一）提交材料。示范区商务主管部门依照综合评价指标体系，将自评报告、相应表格及辅助材料装订成册（一式两份），报送至省商务厅；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（二）评审。省商务厅组织具有资质的第三方机构开展具体评审工作。第三方机构严格按照综合评价指标体系逐一评审，并出具综合评价报告。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eastAsia="黑体" w:cs="方正黑体_GBK"/>
          <w:bCs/>
          <w:color w:val="auto"/>
          <w:sz w:val="32"/>
          <w:szCs w:val="32"/>
        </w:rPr>
        <w:t>第十条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综合评价满分为100分，低于60分则为不合格。</w:t>
      </w:r>
    </w:p>
    <w:p>
      <w:pPr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</w:p>
    <w:p>
      <w:pPr>
        <w:pStyle w:val="11"/>
        <w:numPr>
          <w:ilvl w:val="0"/>
          <w:numId w:val="1"/>
        </w:numPr>
        <w:ind w:firstLineChars="0"/>
        <w:jc w:val="center"/>
        <w:rPr>
          <w:rFonts w:ascii="黑体" w:eastAsia="黑体" w:cs="方正黑体_GBK"/>
          <w:bCs/>
          <w:color w:val="auto"/>
          <w:sz w:val="32"/>
          <w:szCs w:val="32"/>
        </w:rPr>
      </w:pPr>
      <w:r>
        <w:rPr>
          <w:rFonts w:hint="eastAsia" w:ascii="黑体" w:eastAsia="黑体" w:cs="方正黑体_GBK"/>
          <w:bCs/>
          <w:color w:val="auto"/>
          <w:sz w:val="32"/>
          <w:szCs w:val="32"/>
        </w:rPr>
        <w:t>综合评价结果</w:t>
      </w:r>
    </w:p>
    <w:p>
      <w:pPr>
        <w:pStyle w:val="11"/>
        <w:ind w:left="1275" w:firstLine="0" w:firstLineChars="0"/>
        <w:rPr>
          <w:rFonts w:ascii="黑体" w:hAnsi="黑体" w:eastAsia="黑体"/>
          <w:color w:val="auto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黑体" w:eastAsia="黑体" w:cs="方正黑体_GBK"/>
          <w:bCs/>
          <w:color w:val="auto"/>
          <w:sz w:val="32"/>
          <w:szCs w:val="32"/>
        </w:rPr>
        <w:t>第十一条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省商务厅将综合评价结果通报各示范区，并抄送省级相关部门及评审对象所在地人民政府。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eastAsia="黑体" w:cs="方正黑体_GBK"/>
          <w:bCs/>
          <w:color w:val="auto"/>
          <w:sz w:val="32"/>
          <w:szCs w:val="32"/>
        </w:rPr>
        <w:t>第十二条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对未能达到及格分数的示范区，将通报责令整改，经整改1年后按照综合评价程序再次评审。若评审结果仍为不合格，省商务厅将在征求省有关部门意见后，报请省人民政府撤销其云南省服务外包示范城市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/>
        </w:rPr>
        <w:t>、示范园区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或示范基地的称号。</w:t>
      </w:r>
    </w:p>
    <w:p>
      <w:pPr>
        <w:rPr>
          <w:rFonts w:ascii="黑体" w:hAnsi="黑体" w:eastAsia="黑体"/>
          <w:color w:val="auto"/>
          <w:sz w:val="32"/>
          <w:szCs w:val="32"/>
        </w:rPr>
      </w:pPr>
    </w:p>
    <w:p>
      <w:pPr>
        <w:jc w:val="center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第六章 附则</w:t>
      </w:r>
    </w:p>
    <w:p>
      <w:pPr>
        <w:rPr>
          <w:rFonts w:ascii="黑体" w:hAnsi="黑体" w:eastAsia="黑体"/>
          <w:color w:val="auto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eastAsia="黑体" w:cs="方正黑体_GBK"/>
          <w:bCs/>
          <w:color w:val="auto"/>
          <w:sz w:val="32"/>
          <w:szCs w:val="32"/>
        </w:rPr>
        <w:t>第十三条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本办法自2021年12月17日起施行，有效期至2026年12月17日。</w:t>
      </w:r>
    </w:p>
    <w:p>
      <w:pPr>
        <w:rPr>
          <w:rFonts w:ascii="仿宋" w:hAnsi="仿宋" w:eastAsia="仿宋"/>
          <w:color w:val="auto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附件：云南省服务外包示范区综合评价指标体系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 xml:space="preserve">      </w:t>
      </w:r>
      <w:r>
        <w:rPr>
          <w:rFonts w:ascii="仿宋" w:hAnsi="仿宋" w:eastAsia="仿宋"/>
          <w:color w:val="auto"/>
          <w:sz w:val="32"/>
          <w:szCs w:val="32"/>
        </w:rPr>
        <w:t xml:space="preserve"> </w:t>
      </w:r>
    </w:p>
    <w:p>
      <w:pPr>
        <w:wordWrap w:val="0"/>
        <w:ind w:firstLine="640" w:firstLineChars="200"/>
        <w:jc w:val="right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 xml:space="preserve"> </w:t>
      </w:r>
    </w:p>
    <w:p>
      <w:pPr>
        <w:wordWrap w:val="0"/>
        <w:ind w:firstLine="640" w:firstLineChars="200"/>
        <w:jc w:val="right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 xml:space="preserve"> </w:t>
      </w:r>
    </w:p>
    <w:p>
      <w:pPr>
        <w:ind w:firstLine="640" w:firstLineChars="200"/>
        <w:jc w:val="right"/>
        <w:rPr>
          <w:rFonts w:ascii="仿宋" w:hAnsi="仿宋" w:eastAsia="仿宋"/>
          <w:color w:val="auto"/>
          <w:sz w:val="32"/>
          <w:szCs w:val="32"/>
        </w:rPr>
      </w:pPr>
    </w:p>
    <w:p>
      <w:pPr>
        <w:ind w:firstLine="640" w:firstLineChars="200"/>
        <w:jc w:val="right"/>
        <w:rPr>
          <w:rFonts w:ascii="仿宋" w:hAnsi="仿宋" w:eastAsia="仿宋"/>
          <w:color w:val="auto"/>
          <w:sz w:val="32"/>
          <w:szCs w:val="32"/>
        </w:rPr>
      </w:pPr>
    </w:p>
    <w:p>
      <w:pPr>
        <w:rPr>
          <w:rFonts w:ascii="黑体" w:hAnsi="黑体" w:eastAsia="黑体" w:cs="黑体"/>
          <w:color w:val="auto"/>
          <w:sz w:val="32"/>
          <w:szCs w:val="32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</w:p>
    <w:p>
      <w:pPr>
        <w:jc w:val="center"/>
        <w:rPr>
          <w:rFonts w:ascii="方正小标宋简体" w:hAnsi="仿宋" w:eastAsia="方正小标宋简体"/>
          <w:color w:val="auto"/>
          <w:sz w:val="32"/>
          <w:szCs w:val="32"/>
        </w:rPr>
      </w:pPr>
    </w:p>
    <w:p>
      <w:pPr>
        <w:jc w:val="center"/>
        <w:rPr>
          <w:rFonts w:ascii="方正小标宋简体" w:hAnsi="仿宋" w:eastAsia="方正小标宋简体"/>
          <w:color w:val="auto"/>
          <w:sz w:val="44"/>
          <w:szCs w:val="44"/>
        </w:rPr>
      </w:pPr>
      <w:r>
        <w:rPr>
          <w:rFonts w:hint="eastAsia" w:ascii="方正小标宋简体" w:hAnsi="仿宋" w:eastAsia="方正小标宋简体"/>
          <w:color w:val="auto"/>
          <w:sz w:val="44"/>
          <w:szCs w:val="44"/>
        </w:rPr>
        <w:t>云南省服务外包示范区综合评价指标体系</w:t>
      </w:r>
    </w:p>
    <w:p>
      <w:pPr>
        <w:rPr>
          <w:rFonts w:ascii="方正小标宋简体" w:hAnsi="仿宋" w:eastAsia="方正小标宋简体"/>
          <w:color w:val="auto"/>
          <w:sz w:val="32"/>
          <w:szCs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819"/>
        <w:gridCol w:w="7027"/>
        <w:gridCol w:w="1177"/>
        <w:gridCol w:w="992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89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</w:rPr>
              <w:t>一级指标</w:t>
            </w: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</w:rPr>
              <w:t>序号</w:t>
            </w:r>
          </w:p>
        </w:tc>
        <w:tc>
          <w:tcPr>
            <w:tcW w:w="7027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</w:rPr>
              <w:t>二级指标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</w:rPr>
              <w:t>单位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</w:rPr>
              <w:t>权重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48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</w:rPr>
              <w:t>产业发展情况</w:t>
            </w:r>
          </w:p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55%</w:t>
            </w: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1</w:t>
            </w:r>
          </w:p>
        </w:tc>
        <w:tc>
          <w:tcPr>
            <w:tcW w:w="7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30"/>
                <w:szCs w:val="30"/>
                <w:lang w:val="e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"/>
              </w:rPr>
              <w:t>上年度在岸外包执行额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万美元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12%</w:t>
            </w:r>
          </w:p>
        </w:tc>
        <w:tc>
          <w:tcPr>
            <w:tcW w:w="86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  <w:lang w:val="e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"/>
              </w:rPr>
              <w:t>2</w:t>
            </w:r>
          </w:p>
        </w:tc>
        <w:tc>
          <w:tcPr>
            <w:tcW w:w="7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"/>
              </w:rPr>
              <w:t>上年度离岸外包执行额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万美元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12%</w:t>
            </w:r>
          </w:p>
        </w:tc>
        <w:tc>
          <w:tcPr>
            <w:tcW w:w="86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  <w:lang w:val="e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"/>
              </w:rPr>
              <w:t>3</w:t>
            </w:r>
          </w:p>
        </w:tc>
        <w:tc>
          <w:tcPr>
            <w:tcW w:w="7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"/>
              </w:rPr>
              <w:t>上年度在岸外包执行额同比增幅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%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8%</w:t>
            </w:r>
          </w:p>
        </w:tc>
        <w:tc>
          <w:tcPr>
            <w:tcW w:w="86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  <w:lang w:val="e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"/>
              </w:rPr>
              <w:t>4</w:t>
            </w:r>
          </w:p>
        </w:tc>
        <w:tc>
          <w:tcPr>
            <w:tcW w:w="7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"/>
              </w:rPr>
              <w:t>上年度离岸外包执行额同比增幅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%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8%</w:t>
            </w:r>
          </w:p>
        </w:tc>
        <w:tc>
          <w:tcPr>
            <w:tcW w:w="86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  <w:lang w:val="e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"/>
              </w:rPr>
              <w:t>5</w:t>
            </w:r>
          </w:p>
        </w:tc>
        <w:tc>
          <w:tcPr>
            <w:tcW w:w="7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有无技术先进型企业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个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5%</w:t>
            </w:r>
          </w:p>
        </w:tc>
        <w:tc>
          <w:tcPr>
            <w:tcW w:w="86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6</w:t>
            </w:r>
          </w:p>
        </w:tc>
        <w:tc>
          <w:tcPr>
            <w:tcW w:w="7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有无省级服务外包重点企业或重点培训机构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个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5%</w:t>
            </w:r>
          </w:p>
        </w:tc>
        <w:tc>
          <w:tcPr>
            <w:tcW w:w="86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7</w:t>
            </w:r>
          </w:p>
        </w:tc>
        <w:tc>
          <w:tcPr>
            <w:tcW w:w="7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新增服务外包企业数量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个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5%</w:t>
            </w:r>
          </w:p>
        </w:tc>
        <w:tc>
          <w:tcPr>
            <w:tcW w:w="866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8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</w:rPr>
              <w:t>一级指标</w:t>
            </w: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</w:rPr>
              <w:t>序号</w:t>
            </w:r>
          </w:p>
        </w:tc>
        <w:tc>
          <w:tcPr>
            <w:tcW w:w="70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</w:rPr>
              <w:t>二级指标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</w:rPr>
              <w:t>单位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</w:rPr>
              <w:t>权重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8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</w:rPr>
              <w:t>综合服务能力</w:t>
            </w:r>
          </w:p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45%</w:t>
            </w: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  <w:lang w:val="e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8</w:t>
            </w:r>
          </w:p>
        </w:tc>
        <w:tc>
          <w:tcPr>
            <w:tcW w:w="7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上年度参加省商务厅组织的重点展会及活动次数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次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10%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9</w:t>
            </w:r>
          </w:p>
        </w:tc>
        <w:tc>
          <w:tcPr>
            <w:tcW w:w="7027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上年度服务外包资金执行情况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%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10%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10</w:t>
            </w:r>
          </w:p>
        </w:tc>
        <w:tc>
          <w:tcPr>
            <w:tcW w:w="7027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有无组织服务贸易或服务外包培训会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项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10%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11</w:t>
            </w:r>
          </w:p>
        </w:tc>
        <w:tc>
          <w:tcPr>
            <w:tcW w:w="7027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有无促进服务外包发展专项规划或行动计划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项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10%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2</w:t>
            </w:r>
          </w:p>
        </w:tc>
        <w:tc>
          <w:tcPr>
            <w:tcW w:w="7027" w:type="dxa"/>
            <w:vAlign w:val="center"/>
          </w:tcPr>
          <w:p>
            <w:pPr>
              <w:rPr>
                <w:rFonts w:ascii="仿宋" w:hAnsi="仿宋" w:eastAsia="仿宋" w:cs="仿宋"/>
                <w:color w:val="auto"/>
                <w:sz w:val="30"/>
                <w:szCs w:val="30"/>
                <w:lang w:val="e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有无服务外包公共服务平台或行业组织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个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5%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</w:tbl>
    <w:p>
      <w:pPr>
        <w:rPr>
          <w:rFonts w:ascii="仿宋" w:hAnsi="仿宋" w:eastAsia="仿宋"/>
          <w:color w:val="auto"/>
          <w:sz w:val="32"/>
          <w:szCs w:val="32"/>
        </w:rPr>
      </w:pPr>
    </w:p>
    <w:p>
      <w:pPr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注：1.“年度”指该年的1月1日至12月31日。</w:t>
      </w:r>
    </w:p>
    <w:p>
      <w:pPr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 xml:space="preserve">    2.服务外包执行额、增幅及企业数量数据来源为“商务部业务系统统一平台-服务外包应用”。</w:t>
      </w:r>
    </w:p>
    <w:p>
      <w:pPr>
        <w:rPr>
          <w:rFonts w:ascii="仿宋" w:hAnsi="仿宋" w:eastAsia="仿宋"/>
          <w:color w:val="auto"/>
          <w:sz w:val="30"/>
          <w:szCs w:val="30"/>
          <w:lang w:val="en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 xml:space="preserve">    3.若当年尚未评出省级服务外包重点企业或重点培训机构，则用上一年度数据。</w:t>
      </w:r>
    </w:p>
    <w:p>
      <w:pPr>
        <w:ind w:firstLine="600" w:firstLineChars="200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4.二级指标分为客观数据项目和“有</w:t>
      </w:r>
      <w:r>
        <w:rPr>
          <w:rFonts w:ascii="仿宋" w:hAnsi="仿宋" w:eastAsia="仿宋"/>
          <w:color w:val="auto"/>
          <w:sz w:val="30"/>
          <w:szCs w:val="30"/>
          <w:lang w:val="en"/>
        </w:rPr>
        <w:t>/</w:t>
      </w:r>
      <w:r>
        <w:rPr>
          <w:rFonts w:hint="eastAsia" w:ascii="仿宋" w:hAnsi="仿宋" w:eastAsia="仿宋"/>
          <w:color w:val="auto"/>
          <w:sz w:val="30"/>
          <w:szCs w:val="30"/>
          <w:lang w:val="en"/>
        </w:rPr>
        <w:t>无</w:t>
      </w:r>
      <w:r>
        <w:rPr>
          <w:rFonts w:hint="eastAsia" w:ascii="仿宋" w:hAnsi="仿宋" w:eastAsia="仿宋"/>
          <w:color w:val="auto"/>
          <w:sz w:val="30"/>
          <w:szCs w:val="30"/>
        </w:rPr>
        <w:t>”项目，且单项目最高得分不超过该指标权重。</w:t>
      </w:r>
    </w:p>
    <w:p>
      <w:pPr>
        <w:ind w:firstLine="640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5.“有/无”项目，有为满分，无为零分。</w:t>
      </w:r>
    </w:p>
    <w:p>
      <w:pPr>
        <w:ind w:firstLine="640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6.客观数据项目计算方法为：得分=权重×（该项数据</w:t>
      </w:r>
      <w:r>
        <w:rPr>
          <w:rFonts w:ascii="仿宋" w:hAnsi="仿宋" w:eastAsia="仿宋"/>
          <w:color w:val="auto"/>
          <w:sz w:val="30"/>
          <w:szCs w:val="30"/>
          <w:lang w:val="en"/>
        </w:rPr>
        <w:t>/</w:t>
      </w:r>
      <w:r>
        <w:rPr>
          <w:rFonts w:hint="eastAsia" w:ascii="仿宋" w:hAnsi="仿宋" w:eastAsia="仿宋"/>
          <w:color w:val="auto"/>
          <w:sz w:val="30"/>
          <w:szCs w:val="30"/>
          <w:lang w:val="en"/>
        </w:rPr>
        <w:t>同一类型评价对象中该项数据平均值</w:t>
      </w:r>
      <w:r>
        <w:rPr>
          <w:rFonts w:hint="eastAsia" w:ascii="仿宋" w:hAnsi="仿宋" w:eastAsia="仿宋"/>
          <w:color w:val="auto"/>
          <w:sz w:val="30"/>
          <w:szCs w:val="30"/>
        </w:rPr>
        <w:t>）。</w:t>
      </w:r>
    </w:p>
    <w:p>
      <w:pPr>
        <w:ind w:firstLine="64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7.示范城市为同一类型，示范园区及示范基地为同一类型。</w:t>
      </w: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cs="宋体"/>
        <w:b/>
        <w:bCs/>
        <w:color w:val="005192"/>
        <w:sz w:val="28"/>
        <w:szCs w:val="44"/>
      </w:rPr>
    </w:pPr>
    <w:bookmarkStart w:id="0" w:name="_Hlk132189194"/>
    <w:r>
      <w:rPr>
        <w:rFonts w:ascii="宋体" w:hAnsi="宋体" w:cs="宋体"/>
        <w:sz w:val="28"/>
        <w:szCs w:val="28"/>
      </w:rPr>
      <w:fldChar w:fldCharType="begin"/>
    </w:r>
    <w:r>
      <w:rPr>
        <w:rFonts w:ascii="宋体" w:hAnsi="宋体" w:cs="宋体"/>
        <w:sz w:val="28"/>
        <w:szCs w:val="28"/>
      </w:rPr>
      <w:instrText xml:space="preserve">PAGE   \* MERGEFORMAT</w:instrText>
    </w:r>
    <w:r>
      <w:rPr>
        <w:rFonts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- 1 -</w:t>
    </w:r>
    <w:r>
      <w:rPr>
        <w:rFonts w:ascii="宋体" w:hAnsi="宋体" w:cs="宋体"/>
        <w:sz w:val="28"/>
        <w:szCs w:val="28"/>
      </w:rPr>
      <w:fldChar w:fldCharType="end"/>
    </w:r>
    <w:r>
      <w:pict>
        <v:rect id="_x0000_i1026" o:spt="1" style="height:1.75pt;width:415.3pt;" fillcolor="#0070C0" filled="t" stroked="f" coordsize="21600,21600" o:hr="t" o:hrstd="t" o:hrnoshade="t" o:hralign="center">
          <v:path/>
          <v:fill on="t" focussize="0,0"/>
          <v:stroke on="f"/>
          <v:imagedata o:title=""/>
          <o:lock v:ext="edit"/>
          <w10:wrap type="none"/>
          <w10:anchorlock/>
        </v:rect>
      </w:pict>
    </w:r>
  </w:p>
  <w:p>
    <w:pPr>
      <w:pStyle w:val="3"/>
      <w:wordWrap w:val="0"/>
      <w:jc w:val="right"/>
      <w:rPr>
        <w:rFonts w:hint="default" w:eastAsiaTheme="minorEastAsia"/>
        <w:lang w:val="en-US" w:eastAsia="zh-CN"/>
      </w:rPr>
    </w:pPr>
    <w:r>
      <w:rPr>
        <w:rFonts w:hint="eastAsia" w:ascii="宋体" w:hAnsi="宋体" w:cs="宋体"/>
        <w:b/>
        <w:bCs/>
        <w:color w:val="005192"/>
        <w:sz w:val="28"/>
        <w:szCs w:val="44"/>
      </w:rPr>
      <w:t>云南省商务厅发布</w:t>
    </w:r>
    <w:bookmarkEnd w:id="0"/>
    <w:r>
      <w:rPr>
        <w:rFonts w:hint="eastAsia" w:ascii="宋体" w:hAnsi="宋体" w:cs="宋体"/>
        <w:b/>
        <w:bCs/>
        <w:color w:val="005192"/>
        <w:sz w:val="28"/>
        <w:szCs w:val="44"/>
        <w:lang w:val="en-US" w:eastAsia="zh-CN"/>
      </w:rPr>
      <w:t xml:space="preserve">  </w:t>
    </w:r>
  </w:p>
  <w:p>
    <w:pPr>
      <w:pStyle w:val="3"/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cs="宋体"/>
        <w:b/>
        <w:bCs/>
        <w:color w:val="005192"/>
        <w:sz w:val="28"/>
        <w:szCs w:val="44"/>
      </w:rPr>
    </w:pPr>
    <w:r>
      <w:rPr>
        <w:rFonts w:ascii="宋体" w:hAnsi="宋体" w:cs="宋体"/>
        <w:sz w:val="28"/>
        <w:szCs w:val="28"/>
      </w:rPr>
      <w:fldChar w:fldCharType="begin"/>
    </w:r>
    <w:r>
      <w:rPr>
        <w:rFonts w:ascii="宋体" w:hAnsi="宋体" w:cs="宋体"/>
        <w:sz w:val="28"/>
        <w:szCs w:val="28"/>
      </w:rPr>
      <w:instrText xml:space="preserve">PAGE   \* MERGEFORMAT</w:instrText>
    </w:r>
    <w:r>
      <w:rPr>
        <w:rFonts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- 2 -</w:t>
    </w:r>
    <w:r>
      <w:rPr>
        <w:rFonts w:ascii="宋体" w:hAnsi="宋体" w:cs="宋体"/>
        <w:sz w:val="28"/>
        <w:szCs w:val="28"/>
      </w:rPr>
      <w:fldChar w:fldCharType="end"/>
    </w:r>
    <w:r>
      <w:pict>
        <v:rect id="_x0000_i1028" o:spt="1" style="height:1.75pt;width:415.3pt;" fillcolor="#4472C4" filled="t" stroked="f" coordsize="21600,21600" o:hr="t" o:hrstd="t" o:hrnoshade="t" o:hralign="center">
          <v:path/>
          <v:fill on="t" focussize="0,0"/>
          <v:stroke on="f"/>
          <v:imagedata o:title=""/>
          <o:lock v:ext="edit"/>
          <w10:wrap type="none"/>
          <w10:anchorlock/>
        </v:rect>
      </w:pict>
    </w:r>
  </w:p>
  <w:p>
    <w:pPr>
      <w:pStyle w:val="3"/>
      <w:wordWrap w:val="0"/>
      <w:jc w:val="right"/>
      <w:rPr>
        <w:rFonts w:hint="default" w:eastAsiaTheme="minorEastAsia"/>
        <w:lang w:val="en-US" w:eastAsia="zh-CN"/>
      </w:rPr>
    </w:pPr>
    <w:r>
      <w:rPr>
        <w:rFonts w:hint="eastAsia" w:ascii="宋体" w:hAnsi="宋体" w:cs="宋体"/>
        <w:b/>
        <w:bCs/>
        <w:color w:val="005192"/>
        <w:sz w:val="28"/>
        <w:szCs w:val="44"/>
      </w:rPr>
      <w:t>云南省商务厅发布</w:t>
    </w:r>
    <w:r>
      <w:rPr>
        <w:rFonts w:hint="eastAsia" w:ascii="宋体" w:hAnsi="宋体" w:cs="宋体"/>
        <w:b/>
        <w:bCs/>
        <w:color w:val="005192"/>
        <w:sz w:val="28"/>
        <w:szCs w:val="44"/>
        <w:lang w:val="en-US" w:eastAsia="zh-CN"/>
      </w:rPr>
      <w:t xml:space="preserve">  </w:t>
    </w:r>
  </w:p>
  <w:p>
    <w:pPr>
      <w:pStyle w:val="3"/>
    </w:pP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keepNext w:val="0"/>
      <w:keepLines w:val="0"/>
      <w:pageBreakBefore w:val="0"/>
      <w:widowControl w:val="0"/>
      <w:pBdr>
        <w:bottom w:val="none" w:color="auto" w:sz="0" w:space="6"/>
      </w:pBdr>
      <w:kinsoku/>
      <w:wordWrap/>
      <w:overflowPunct/>
      <w:topLinePunct w:val="0"/>
      <w:bidi w:val="0"/>
      <w:adjustRightInd/>
      <w:snapToGrid w:val="0"/>
      <w:spacing w:line="400" w:lineRule="exact"/>
      <w:jc w:val="left"/>
      <w:textAlignment w:val="center"/>
      <w:rPr>
        <w:rFonts w:ascii="宋体" w:hAnsi="宋体" w:cs="宋体"/>
        <w:b/>
        <w:bCs/>
        <w:color w:val="005192"/>
        <w:sz w:val="32"/>
        <w:szCs w:val="32"/>
      </w:rPr>
    </w:pPr>
    <w:r>
      <w:rPr>
        <w:rFonts w:ascii="宋体" w:hAnsi="宋体" w:cs="宋体"/>
        <w:b/>
        <w:color w:val="005192"/>
        <w:sz w:val="32"/>
      </w:rPr>
      <w:drawing>
        <wp:inline distT="0" distB="0" distL="0" distR="0">
          <wp:extent cx="304800" cy="276225"/>
          <wp:effectExtent l="0" t="0" r="0" b="13335"/>
          <wp:docPr id="9" name="图片 9" descr="C:/Users/ASUS/Desktop/图片1.png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C:/Users/ASUS/Desktop/图片1.png图片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4792" b="4792"/>
                  <a:stretch>
                    <a:fillRect/>
                  </a:stretch>
                </pic:blipFill>
                <pic:spPr>
                  <a:xfrm>
                    <a:off x="0" y="0"/>
                    <a:ext cx="3048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宋体" w:hAnsi="宋体" w:cs="宋体"/>
        <w:b/>
        <w:bCs/>
        <w:color w:val="005192"/>
        <w:sz w:val="32"/>
        <w:szCs w:val="32"/>
      </w:rPr>
      <w:t>云南省商务厅</w:t>
    </w:r>
    <w:r>
      <w:rPr>
        <w:rFonts w:hint="eastAsia" w:ascii="宋体" w:hAnsi="宋体" w:cs="宋体"/>
        <w:b/>
        <w:bCs/>
        <w:color w:val="005192"/>
        <w:sz w:val="32"/>
        <w:szCs w:val="32"/>
        <w:lang w:val="en-US" w:eastAsia="zh-CN"/>
      </w:rPr>
      <w:t>行政</w:t>
    </w:r>
    <w:r>
      <w:rPr>
        <w:rFonts w:hint="eastAsia" w:ascii="宋体" w:hAnsi="宋体" w:cs="宋体"/>
        <w:b/>
        <w:bCs/>
        <w:color w:val="005192"/>
        <w:sz w:val="32"/>
        <w:szCs w:val="32"/>
      </w:rPr>
      <w:t>规范性文件</w:t>
    </w:r>
  </w:p>
  <w:p>
    <w:pPr>
      <w:pStyle w:val="4"/>
      <w:keepNext w:val="0"/>
      <w:keepLines w:val="0"/>
      <w:pageBreakBefore w:val="0"/>
      <w:widowControl w:val="0"/>
      <w:pBdr>
        <w:bottom w:val="none" w:color="auto" w:sz="0" w:space="6"/>
      </w:pBdr>
      <w:kinsoku/>
      <w:wordWrap/>
      <w:overflowPunct/>
      <w:topLinePunct w:val="0"/>
      <w:bidi w:val="0"/>
      <w:adjustRightInd/>
      <w:snapToGrid w:val="0"/>
      <w:spacing w:line="400" w:lineRule="exact"/>
      <w:jc w:val="left"/>
      <w:textAlignment w:val="center"/>
      <w:rPr>
        <w:rFonts w:ascii="宋体" w:hAnsi="宋体" w:cs="宋体"/>
        <w:b/>
        <w:bCs/>
        <w:color w:val="005192"/>
        <w:sz w:val="32"/>
        <w:szCs w:val="32"/>
      </w:rPr>
    </w:pPr>
    <w:r>
      <w:rPr>
        <w:rFonts w:ascii="宋体" w:hAnsi="宋体" w:cs="宋体"/>
        <w:b/>
        <w:bCs/>
        <w:color w:val="005192"/>
        <w:sz w:val="32"/>
        <w:szCs w:val="32"/>
      </w:rPr>
      <w:pict>
        <v:rect id="_x0000_i1025" o:spt="1" style="height:1.5pt;width:415.3pt;" fillcolor="#0070C0" filled="t" stroked="f" coordsize="21600,21600" o:hr="t" o:hrstd="t" o:hrnoshade="t" o:hralign="center">
          <v:path/>
          <v:fill on="t" focussize="0,0"/>
          <v:stroke on="f"/>
          <v:imagedata o:title=""/>
          <o:lock v:ext="edit"/>
          <w10:wrap type="none"/>
          <w10:anchorlock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keepNext w:val="0"/>
      <w:keepLines w:val="0"/>
      <w:pageBreakBefore w:val="0"/>
      <w:widowControl w:val="0"/>
      <w:pBdr>
        <w:bottom w:val="none" w:color="auto" w:sz="0" w:space="6"/>
      </w:pBdr>
      <w:kinsoku/>
      <w:wordWrap/>
      <w:overflowPunct/>
      <w:topLinePunct w:val="0"/>
      <w:bidi w:val="0"/>
      <w:adjustRightInd/>
      <w:snapToGrid w:val="0"/>
      <w:spacing w:line="400" w:lineRule="exact"/>
      <w:jc w:val="left"/>
      <w:textAlignment w:val="center"/>
      <w:rPr>
        <w:rFonts w:ascii="宋体" w:hAnsi="宋体" w:cs="宋体"/>
        <w:b/>
        <w:bCs/>
        <w:color w:val="005192"/>
        <w:sz w:val="32"/>
        <w:szCs w:val="32"/>
      </w:rPr>
    </w:pPr>
    <w:r>
      <w:rPr>
        <w:rFonts w:ascii="宋体" w:hAnsi="宋体" w:cs="宋体"/>
        <w:b/>
        <w:color w:val="005192"/>
        <w:sz w:val="32"/>
      </w:rPr>
      <w:drawing>
        <wp:inline distT="0" distB="0" distL="0" distR="0">
          <wp:extent cx="304800" cy="276225"/>
          <wp:effectExtent l="0" t="0" r="0" b="13335"/>
          <wp:docPr id="10" name="图片 10" descr="C:/Users/ASUS/Desktop/图片1.png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0" descr="C:/Users/ASUS/Desktop/图片1.png图片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4792" b="4792"/>
                  <a:stretch>
                    <a:fillRect/>
                  </a:stretch>
                </pic:blipFill>
                <pic:spPr>
                  <a:xfrm>
                    <a:off x="0" y="0"/>
                    <a:ext cx="3048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宋体" w:hAnsi="宋体" w:cs="宋体"/>
        <w:b/>
        <w:bCs/>
        <w:color w:val="005192"/>
        <w:sz w:val="32"/>
        <w:szCs w:val="32"/>
      </w:rPr>
      <w:t>云南省商务厅</w:t>
    </w:r>
    <w:r>
      <w:rPr>
        <w:rFonts w:hint="eastAsia" w:ascii="宋体" w:hAnsi="宋体" w:cs="宋体"/>
        <w:b/>
        <w:bCs/>
        <w:color w:val="005192"/>
        <w:sz w:val="32"/>
        <w:szCs w:val="32"/>
        <w:lang w:val="en-US" w:eastAsia="zh-CN"/>
      </w:rPr>
      <w:t>行政</w:t>
    </w:r>
    <w:r>
      <w:rPr>
        <w:rFonts w:hint="eastAsia" w:ascii="宋体" w:hAnsi="宋体" w:cs="宋体"/>
        <w:b/>
        <w:bCs/>
        <w:color w:val="005192"/>
        <w:sz w:val="32"/>
        <w:szCs w:val="32"/>
      </w:rPr>
      <w:t>规范性文件</w:t>
    </w:r>
  </w:p>
  <w:p>
    <w:pPr>
      <w:pStyle w:val="4"/>
      <w:keepNext w:val="0"/>
      <w:keepLines w:val="0"/>
      <w:pageBreakBefore w:val="0"/>
      <w:widowControl w:val="0"/>
      <w:pBdr>
        <w:bottom w:val="none" w:color="auto" w:sz="0" w:space="6"/>
      </w:pBdr>
      <w:kinsoku/>
      <w:wordWrap/>
      <w:overflowPunct/>
      <w:topLinePunct w:val="0"/>
      <w:bidi w:val="0"/>
      <w:adjustRightInd/>
      <w:snapToGrid w:val="0"/>
      <w:spacing w:line="400" w:lineRule="exact"/>
      <w:jc w:val="left"/>
      <w:textAlignment w:val="center"/>
      <w:rPr>
        <w:rFonts w:ascii="宋体" w:hAnsi="宋体" w:cs="宋体"/>
        <w:b/>
        <w:bCs/>
        <w:color w:val="005192"/>
        <w:sz w:val="32"/>
        <w:szCs w:val="32"/>
      </w:rPr>
    </w:pPr>
    <w:r>
      <w:rPr>
        <w:rFonts w:ascii="宋体" w:hAnsi="宋体" w:cs="宋体"/>
        <w:b/>
        <w:bCs/>
        <w:color w:val="005192"/>
        <w:sz w:val="32"/>
        <w:szCs w:val="32"/>
      </w:rPr>
      <w:pict>
        <v:rect id="_x0000_i1027" o:spt="1" style="height:1.5pt;width:415.3pt;" fillcolor="#0070C0" filled="t" stroked="f" coordsize="21600,21600" o:hr="t" o:hrstd="t" o:hrnoshade="t" o:hralign="center">
          <v:path/>
          <v:fill on="t" focussize="0,0"/>
          <v:stroke on="f"/>
          <v:imagedata o:title=""/>
          <o:lock v:ext="edit"/>
          <w10:wrap type="none"/>
          <w10:anchorlock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0F7603"/>
    <w:multiLevelType w:val="multilevel"/>
    <w:tmpl w:val="3B0F7603"/>
    <w:lvl w:ilvl="0" w:tentative="0">
      <w:start w:val="1"/>
      <w:numFmt w:val="japaneseCounting"/>
      <w:lvlText w:val="第%1章"/>
      <w:lvlJc w:val="left"/>
      <w:pPr>
        <w:ind w:left="1275" w:hanging="127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RiN2EzOTIwNTFkMWRjYjlhM2M2MjEwMTAzOTAyMTAifQ=="/>
  </w:docVars>
  <w:rsids>
    <w:rsidRoot w:val="00927C8F"/>
    <w:rsid w:val="000C60A1"/>
    <w:rsid w:val="000F1D99"/>
    <w:rsid w:val="001169D9"/>
    <w:rsid w:val="00131BFF"/>
    <w:rsid w:val="00181DA2"/>
    <w:rsid w:val="001B2B39"/>
    <w:rsid w:val="001C0EF5"/>
    <w:rsid w:val="001E260F"/>
    <w:rsid w:val="001E6B3D"/>
    <w:rsid w:val="002236D4"/>
    <w:rsid w:val="002E6112"/>
    <w:rsid w:val="002F5262"/>
    <w:rsid w:val="003F6C5D"/>
    <w:rsid w:val="004B60AB"/>
    <w:rsid w:val="004D47BE"/>
    <w:rsid w:val="00521364"/>
    <w:rsid w:val="005445BE"/>
    <w:rsid w:val="00595014"/>
    <w:rsid w:val="005B7CE1"/>
    <w:rsid w:val="00606D27"/>
    <w:rsid w:val="006418B7"/>
    <w:rsid w:val="00652E91"/>
    <w:rsid w:val="00653F1F"/>
    <w:rsid w:val="006B3C2F"/>
    <w:rsid w:val="007620C0"/>
    <w:rsid w:val="007650BC"/>
    <w:rsid w:val="007A7B3F"/>
    <w:rsid w:val="008108FA"/>
    <w:rsid w:val="0084570E"/>
    <w:rsid w:val="00846C9A"/>
    <w:rsid w:val="008904D1"/>
    <w:rsid w:val="008A62F7"/>
    <w:rsid w:val="00927C8F"/>
    <w:rsid w:val="00A15834"/>
    <w:rsid w:val="00A835FE"/>
    <w:rsid w:val="00AF01A8"/>
    <w:rsid w:val="00AF16F5"/>
    <w:rsid w:val="00BA4F06"/>
    <w:rsid w:val="00C663B6"/>
    <w:rsid w:val="00C82175"/>
    <w:rsid w:val="00C95D43"/>
    <w:rsid w:val="00D431A0"/>
    <w:rsid w:val="00D7364A"/>
    <w:rsid w:val="00D73FB3"/>
    <w:rsid w:val="00E50C45"/>
    <w:rsid w:val="00E554C7"/>
    <w:rsid w:val="00EA5D64"/>
    <w:rsid w:val="00EC75EB"/>
    <w:rsid w:val="00F427C9"/>
    <w:rsid w:val="00FD6187"/>
    <w:rsid w:val="00FD758D"/>
    <w:rsid w:val="051C5316"/>
    <w:rsid w:val="1FFCA099"/>
    <w:rsid w:val="2B794B79"/>
    <w:rsid w:val="2D5B9F58"/>
    <w:rsid w:val="30E74B30"/>
    <w:rsid w:val="37DF2D04"/>
    <w:rsid w:val="3CBDA42D"/>
    <w:rsid w:val="3CFFAAEA"/>
    <w:rsid w:val="4FDF094A"/>
    <w:rsid w:val="55EE1708"/>
    <w:rsid w:val="5AA565E8"/>
    <w:rsid w:val="5EFF0156"/>
    <w:rsid w:val="60487659"/>
    <w:rsid w:val="67CF06D6"/>
    <w:rsid w:val="6A43348C"/>
    <w:rsid w:val="6E71BA50"/>
    <w:rsid w:val="6F78891A"/>
    <w:rsid w:val="764A6641"/>
    <w:rsid w:val="7DDFCEB6"/>
    <w:rsid w:val="7EFB96B0"/>
    <w:rsid w:val="7FF90486"/>
    <w:rsid w:val="A8FBB775"/>
    <w:rsid w:val="BA7B23C6"/>
    <w:rsid w:val="BBABFA18"/>
    <w:rsid w:val="BDD2F939"/>
    <w:rsid w:val="BF7588F0"/>
    <w:rsid w:val="BFE6D816"/>
    <w:rsid w:val="BFF35B0B"/>
    <w:rsid w:val="D197F133"/>
    <w:rsid w:val="DCF99DC4"/>
    <w:rsid w:val="DDB36C28"/>
    <w:rsid w:val="DF7D0C20"/>
    <w:rsid w:val="E9FC4484"/>
    <w:rsid w:val="EBF40DB0"/>
    <w:rsid w:val="F36EBB68"/>
    <w:rsid w:val="F7AAC7AC"/>
    <w:rsid w:val="FBF29AFA"/>
    <w:rsid w:val="FECE47B5"/>
    <w:rsid w:val="FEFF5D89"/>
    <w:rsid w:val="FF6D8392"/>
    <w:rsid w:val="FF7F70C0"/>
    <w:rsid w:val="FFBF151B"/>
    <w:rsid w:val="FFFF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autoRedefine/>
    <w:qFormat/>
    <w:uiPriority w:val="0"/>
    <w:pPr>
      <w:jc w:val="left"/>
    </w:pPr>
    <w:rPr>
      <w:szCs w:val="24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文字 字符"/>
    <w:basedOn w:val="7"/>
    <w:link w:val="2"/>
    <w:autoRedefine/>
    <w:qFormat/>
    <w:uiPriority w:val="0"/>
    <w:rPr>
      <w:kern w:val="2"/>
      <w:sz w:val="21"/>
      <w:szCs w:val="24"/>
    </w:rPr>
  </w:style>
  <w:style w:type="paragraph" w:styleId="11">
    <w:name w:val="List Paragraph"/>
    <w:basedOn w:val="1"/>
    <w:autoRedefine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256</Words>
  <Characters>1463</Characters>
  <Lines>12</Lines>
  <Paragraphs>3</Paragraphs>
  <TotalTime>9</TotalTime>
  <ScaleCrop>false</ScaleCrop>
  <LinksUpToDate>false</LinksUpToDate>
  <CharactersWithSpaces>1716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2023-04-12T07:39:00Z</dcterms:created>
  <dc:creator>Administrator</dc:creator>
  <cp:lastModifiedBy>ASUS</cp:lastModifiedBy>
  <dcterms:modified xsi:type="dcterms:W3CDTF">2024-03-21T03:58:49Z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E24DF5D416F8489EAD95E4A059652C1E</vt:lpwstr>
  </property>
</Properties>
</file>